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461" w:rsidRPr="00674BC9" w:rsidRDefault="00F31A7A" w:rsidP="006B4461">
      <w:pPr>
        <w:pStyle w:val="Prrafodelista"/>
        <w:ind w:left="3119" w:right="2267" w:hanging="1134"/>
        <w:contextualSpacing/>
        <w:jc w:val="both"/>
        <w:rPr>
          <w:rFonts w:ascii="Tahoma" w:hAnsi="Tahoma" w:cs="Tahoma"/>
          <w:sz w:val="20"/>
          <w:szCs w:val="20"/>
        </w:rPr>
      </w:pPr>
      <w:r w:rsidRPr="00674BC9">
        <w:rPr>
          <w:rFonts w:ascii="Tahoma" w:hAnsi="Tahoma" w:cs="Tahoma"/>
          <w:b/>
          <w:i/>
          <w:sz w:val="20"/>
          <w:szCs w:val="20"/>
        </w:rPr>
        <w:t>Sumilla:</w:t>
      </w:r>
      <w:r w:rsidRPr="00674BC9">
        <w:rPr>
          <w:rFonts w:ascii="Tahoma" w:hAnsi="Tahoma" w:cs="Tahoma"/>
          <w:i/>
          <w:sz w:val="20"/>
          <w:szCs w:val="20"/>
        </w:rPr>
        <w:t xml:space="preserve"> </w:t>
      </w:r>
      <w:r w:rsidR="00266B38" w:rsidRPr="00674BC9">
        <w:rPr>
          <w:rFonts w:ascii="Tahoma" w:hAnsi="Tahoma" w:cs="Tahoma"/>
          <w:i/>
          <w:sz w:val="20"/>
          <w:szCs w:val="20"/>
        </w:rPr>
        <w:t xml:space="preserve"> </w:t>
      </w:r>
      <w:r w:rsidR="00FC4CCB" w:rsidRPr="00674BC9">
        <w:rPr>
          <w:rFonts w:ascii="Tahoma" w:hAnsi="Tahoma" w:cs="Tahoma"/>
          <w:i/>
          <w:sz w:val="20"/>
          <w:szCs w:val="20"/>
        </w:rPr>
        <w:t>“</w:t>
      </w:r>
      <w:r w:rsidR="00674BC9">
        <w:rPr>
          <w:rFonts w:ascii="Tahoma" w:hAnsi="Tahoma" w:cs="Tahoma"/>
          <w:i/>
          <w:sz w:val="20"/>
          <w:szCs w:val="20"/>
        </w:rPr>
        <w:t xml:space="preserve">El </w:t>
      </w:r>
      <w:r w:rsidR="00674BC9" w:rsidRPr="00674BC9">
        <w:rPr>
          <w:rFonts w:ascii="Tahoma" w:hAnsi="Tahoma" w:cs="Tahoma"/>
          <w:i/>
          <w:sz w:val="20"/>
          <w:szCs w:val="20"/>
        </w:rPr>
        <w:t>literal c) del artículo 42 del Reglamento establece que los postores y/o contratistas son responsables de la veracidad de los documentos e información que presentan para efectos de un proceso de selección determinado</w:t>
      </w:r>
      <w:r w:rsidR="006B4461" w:rsidRPr="00674BC9">
        <w:rPr>
          <w:rFonts w:ascii="Tahoma" w:hAnsi="Tahoma" w:cs="Tahoma"/>
          <w:i/>
          <w:sz w:val="20"/>
          <w:szCs w:val="20"/>
        </w:rPr>
        <w:t>”.</w:t>
      </w:r>
    </w:p>
    <w:p w:rsidR="00F31A7A" w:rsidRPr="00674BC9" w:rsidRDefault="00F31A7A" w:rsidP="00F31A7A">
      <w:pPr>
        <w:tabs>
          <w:tab w:val="left" w:pos="4678"/>
        </w:tabs>
        <w:spacing w:before="100" w:beforeAutospacing="1" w:after="100" w:afterAutospacing="1"/>
        <w:ind w:left="2552" w:right="-1" w:hanging="1134"/>
        <w:jc w:val="center"/>
        <w:rPr>
          <w:rFonts w:ascii="Tahoma" w:hAnsi="Tahoma" w:cs="Tahoma"/>
          <w:b/>
          <w:shadow/>
          <w:sz w:val="20"/>
          <w:szCs w:val="20"/>
        </w:rPr>
      </w:pPr>
      <w:r w:rsidRPr="00674BC9">
        <w:rPr>
          <w:rFonts w:ascii="Tahoma" w:hAnsi="Tahoma" w:cs="Tahoma"/>
          <w:b/>
          <w:shadow/>
          <w:sz w:val="20"/>
          <w:szCs w:val="20"/>
        </w:rPr>
        <w:t xml:space="preserve">                                          Lima, </w:t>
      </w:r>
      <w:r w:rsidR="006E5A1C">
        <w:rPr>
          <w:rFonts w:ascii="Tahoma" w:hAnsi="Tahoma" w:cs="Tahoma"/>
          <w:b/>
          <w:shadow/>
          <w:sz w:val="20"/>
          <w:szCs w:val="20"/>
        </w:rPr>
        <w:t>17 de Mayo de 2011</w:t>
      </w:r>
    </w:p>
    <w:p w:rsidR="00F31A7A" w:rsidRPr="00674BC9" w:rsidRDefault="00F31A7A" w:rsidP="00F31A7A">
      <w:pPr>
        <w:pStyle w:val="Textoindependiente"/>
        <w:ind w:firstLine="567"/>
        <w:rPr>
          <w:rFonts w:cs="Tahoma"/>
          <w:sz w:val="20"/>
        </w:rPr>
      </w:pPr>
      <w:r w:rsidRPr="00674BC9">
        <w:rPr>
          <w:rFonts w:cs="Tahoma"/>
          <w:b/>
          <w:shadow/>
          <w:sz w:val="20"/>
        </w:rPr>
        <w:t>VISTO</w:t>
      </w:r>
      <w:r w:rsidRPr="00674BC9">
        <w:rPr>
          <w:rFonts w:cs="Tahoma"/>
          <w:sz w:val="20"/>
        </w:rPr>
        <w:t xml:space="preserve">, en sesión de fecha </w:t>
      </w:r>
      <w:r w:rsidR="00654E74" w:rsidRPr="00674BC9">
        <w:rPr>
          <w:rFonts w:cs="Tahoma"/>
          <w:sz w:val="20"/>
        </w:rPr>
        <w:t>16 de mayo</w:t>
      </w:r>
      <w:r w:rsidR="001C6C04" w:rsidRPr="00674BC9">
        <w:rPr>
          <w:rFonts w:cs="Tahoma"/>
          <w:sz w:val="20"/>
        </w:rPr>
        <w:t xml:space="preserve"> de 2011</w:t>
      </w:r>
      <w:r w:rsidRPr="00674BC9">
        <w:rPr>
          <w:rFonts w:cs="Tahoma"/>
          <w:sz w:val="20"/>
        </w:rPr>
        <w:t xml:space="preserve"> de la </w:t>
      </w:r>
      <w:r w:rsidR="00331906" w:rsidRPr="00674BC9">
        <w:rPr>
          <w:rFonts w:cs="Tahoma"/>
          <w:sz w:val="20"/>
        </w:rPr>
        <w:t>Primera</w:t>
      </w:r>
      <w:r w:rsidRPr="00674BC9">
        <w:rPr>
          <w:rFonts w:cs="Tahoma"/>
          <w:sz w:val="20"/>
        </w:rPr>
        <w:t xml:space="preserve"> Sala del Tribunal de Contrataciones del Estado, el Expediente № </w:t>
      </w:r>
      <w:r w:rsidR="00674BC9">
        <w:rPr>
          <w:rFonts w:cs="Tahoma"/>
          <w:sz w:val="20"/>
        </w:rPr>
        <w:t>1749</w:t>
      </w:r>
      <w:r w:rsidR="00266B38" w:rsidRPr="00674BC9">
        <w:rPr>
          <w:rFonts w:cs="Tahoma"/>
          <w:sz w:val="20"/>
        </w:rPr>
        <w:t>/2010</w:t>
      </w:r>
      <w:r w:rsidRPr="00674BC9">
        <w:rPr>
          <w:rFonts w:cs="Tahoma"/>
          <w:sz w:val="20"/>
        </w:rPr>
        <w:t xml:space="preserve">.TC sobre el procedimiento administrativo sancionador iniciado contra </w:t>
      </w:r>
      <w:r w:rsidR="00674BC9">
        <w:rPr>
          <w:rFonts w:cs="Tahoma"/>
          <w:sz w:val="20"/>
        </w:rPr>
        <w:t xml:space="preserve">la </w:t>
      </w:r>
      <w:r w:rsidR="00674BC9" w:rsidRPr="00674BC9">
        <w:rPr>
          <w:rFonts w:cs="Tahoma"/>
          <w:sz w:val="20"/>
        </w:rPr>
        <w:t>empresa INGENIERIA Y PROYECTOS ELECTROMECANICOS INTEGRALES S.A.C.</w:t>
      </w:r>
      <w:r w:rsidRPr="00674BC9">
        <w:rPr>
          <w:rFonts w:cs="Tahoma"/>
          <w:sz w:val="20"/>
        </w:rPr>
        <w:t xml:space="preserve">, por su supuesta responsabilidad en </w:t>
      </w:r>
      <w:r w:rsidR="00674BC9">
        <w:rPr>
          <w:rFonts w:cs="Tahoma"/>
          <w:sz w:val="20"/>
        </w:rPr>
        <w:t>la no suscripción del contrato</w:t>
      </w:r>
      <w:r w:rsidR="009B1C66" w:rsidRPr="00674BC9">
        <w:rPr>
          <w:rFonts w:cs="Tahoma"/>
          <w:sz w:val="20"/>
        </w:rPr>
        <w:t xml:space="preserve"> y por la presentación de </w:t>
      </w:r>
      <w:r w:rsidR="006358E8" w:rsidRPr="00674BC9">
        <w:rPr>
          <w:rFonts w:cs="Tahoma"/>
          <w:sz w:val="20"/>
        </w:rPr>
        <w:t xml:space="preserve">documentación </w:t>
      </w:r>
      <w:r w:rsidR="00FF0649" w:rsidRPr="00674BC9">
        <w:rPr>
          <w:rFonts w:cs="Tahoma"/>
          <w:sz w:val="20"/>
        </w:rPr>
        <w:t>falsa y/o inexacta</w:t>
      </w:r>
      <w:r w:rsidR="00544CD7" w:rsidRPr="00674BC9">
        <w:rPr>
          <w:rFonts w:cs="Tahoma"/>
          <w:sz w:val="20"/>
        </w:rPr>
        <w:t xml:space="preserve"> durante </w:t>
      </w:r>
      <w:r w:rsidR="009B1C66" w:rsidRPr="00674BC9">
        <w:rPr>
          <w:rFonts w:cs="Tahoma"/>
          <w:sz w:val="20"/>
        </w:rPr>
        <w:t>la</w:t>
      </w:r>
      <w:r w:rsidRPr="00674BC9">
        <w:rPr>
          <w:rFonts w:cs="Tahoma"/>
          <w:sz w:val="20"/>
        </w:rPr>
        <w:t xml:space="preserve"> </w:t>
      </w:r>
      <w:r w:rsidR="00674BC9" w:rsidRPr="00674BC9">
        <w:rPr>
          <w:rFonts w:cs="Tahoma"/>
          <w:sz w:val="20"/>
        </w:rPr>
        <w:t>Adjudicación Directa Selectiva № 004/2010-SBS</w:t>
      </w:r>
      <w:r w:rsidRPr="00674BC9">
        <w:rPr>
          <w:rFonts w:cs="Tahoma"/>
          <w:sz w:val="20"/>
        </w:rPr>
        <w:t xml:space="preserve">, </w:t>
      </w:r>
      <w:r w:rsidR="00674BC9">
        <w:rPr>
          <w:rFonts w:cs="Tahoma"/>
          <w:sz w:val="20"/>
        </w:rPr>
        <w:t xml:space="preserve">primera convocatoria, realizado por </w:t>
      </w:r>
      <w:r w:rsidR="00674BC9" w:rsidRPr="00674BC9">
        <w:rPr>
          <w:rFonts w:cs="Tahoma"/>
          <w:sz w:val="20"/>
        </w:rPr>
        <w:t>la Superintendencia de Banca, Seguros y Adminis</w:t>
      </w:r>
      <w:r w:rsidR="00674BC9">
        <w:rPr>
          <w:rFonts w:cs="Tahoma"/>
          <w:sz w:val="20"/>
        </w:rPr>
        <w:t xml:space="preserve">tradoras Privadas de Fondos de </w:t>
      </w:r>
      <w:r w:rsidR="00674BC9" w:rsidRPr="00674BC9">
        <w:rPr>
          <w:rFonts w:cs="Tahoma"/>
          <w:sz w:val="20"/>
        </w:rPr>
        <w:t>Pensiones</w:t>
      </w:r>
      <w:r w:rsidR="00243346" w:rsidRPr="00674BC9">
        <w:rPr>
          <w:rFonts w:cs="Tahoma"/>
          <w:color w:val="000000"/>
          <w:sz w:val="20"/>
        </w:rPr>
        <w:t xml:space="preserve">, </w:t>
      </w:r>
      <w:r w:rsidRPr="00674BC9">
        <w:rPr>
          <w:rFonts w:cs="Tahoma"/>
          <w:sz w:val="20"/>
        </w:rPr>
        <w:t>para</w:t>
      </w:r>
      <w:r w:rsidR="00657092" w:rsidRPr="00674BC9">
        <w:rPr>
          <w:rFonts w:cs="Tahoma"/>
          <w:sz w:val="20"/>
        </w:rPr>
        <w:t xml:space="preserve"> </w:t>
      </w:r>
      <w:r w:rsidR="00674BC9" w:rsidRPr="00674BC9">
        <w:rPr>
          <w:rFonts w:cs="Tahoma"/>
          <w:sz w:val="20"/>
        </w:rPr>
        <w:t>la adquisición e instalación de materiales y accesorios para el sistema eléctrico, cableado estructurado y puestas a tierra para local de la Entidad</w:t>
      </w:r>
      <w:r w:rsidRPr="00674BC9">
        <w:rPr>
          <w:rFonts w:cs="Tahoma"/>
          <w:sz w:val="20"/>
        </w:rPr>
        <w:t>; y atendiendo a los siguientes:</w:t>
      </w:r>
    </w:p>
    <w:p w:rsidR="00F31A7A" w:rsidRPr="00674BC9" w:rsidRDefault="00F31A7A" w:rsidP="00F31A7A">
      <w:pPr>
        <w:jc w:val="both"/>
        <w:rPr>
          <w:rFonts w:ascii="Tahoma" w:hAnsi="Tahoma" w:cs="Tahoma"/>
          <w:b/>
          <w:shadow/>
          <w:sz w:val="20"/>
          <w:szCs w:val="20"/>
          <w:lang w:val="es-PE"/>
        </w:rPr>
      </w:pPr>
    </w:p>
    <w:p w:rsidR="00117E78" w:rsidRPr="00674BC9" w:rsidRDefault="00117E78" w:rsidP="00F31A7A">
      <w:pPr>
        <w:jc w:val="both"/>
        <w:rPr>
          <w:rFonts w:ascii="Tahoma" w:hAnsi="Tahoma" w:cs="Tahoma"/>
          <w:b/>
          <w:shadow/>
          <w:sz w:val="20"/>
          <w:szCs w:val="20"/>
        </w:rPr>
      </w:pPr>
    </w:p>
    <w:p w:rsidR="00F31A7A" w:rsidRPr="00674BC9" w:rsidRDefault="00F31A7A" w:rsidP="00F31A7A">
      <w:pPr>
        <w:jc w:val="both"/>
        <w:rPr>
          <w:rFonts w:ascii="Tahoma" w:hAnsi="Tahoma" w:cs="Tahoma"/>
          <w:b/>
          <w:shadow/>
          <w:sz w:val="20"/>
          <w:szCs w:val="20"/>
        </w:rPr>
      </w:pPr>
      <w:r w:rsidRPr="00674BC9">
        <w:rPr>
          <w:rFonts w:ascii="Tahoma" w:hAnsi="Tahoma" w:cs="Tahoma"/>
          <w:b/>
          <w:shadow/>
          <w:sz w:val="20"/>
          <w:szCs w:val="20"/>
        </w:rPr>
        <w:t>ANTECEDENTES:</w:t>
      </w:r>
    </w:p>
    <w:p w:rsidR="00F31A7A" w:rsidRPr="00674BC9" w:rsidRDefault="00F31A7A" w:rsidP="00F31A7A">
      <w:pPr>
        <w:jc w:val="both"/>
        <w:rPr>
          <w:rFonts w:ascii="Tahoma" w:hAnsi="Tahoma" w:cs="Tahoma"/>
          <w:sz w:val="20"/>
          <w:szCs w:val="20"/>
        </w:rPr>
      </w:pPr>
    </w:p>
    <w:p w:rsidR="00674BC9" w:rsidRPr="00674BC9" w:rsidRDefault="00674BC9" w:rsidP="00674BC9">
      <w:pPr>
        <w:numPr>
          <w:ilvl w:val="0"/>
          <w:numId w:val="2"/>
        </w:numPr>
        <w:tabs>
          <w:tab w:val="clear" w:pos="720"/>
          <w:tab w:val="num" w:pos="567"/>
          <w:tab w:val="left" w:pos="4320"/>
        </w:tabs>
        <w:ind w:left="567" w:hanging="567"/>
        <w:jc w:val="both"/>
        <w:rPr>
          <w:rFonts w:ascii="Tahoma" w:hAnsi="Tahoma" w:cs="Tahoma"/>
          <w:b/>
          <w:bCs/>
          <w:sz w:val="20"/>
          <w:szCs w:val="20"/>
        </w:rPr>
      </w:pPr>
      <w:r w:rsidRPr="00674BC9">
        <w:rPr>
          <w:rFonts w:ascii="Tahoma" w:hAnsi="Tahoma" w:cs="Tahoma"/>
          <w:sz w:val="20"/>
          <w:szCs w:val="20"/>
        </w:rPr>
        <w:t>El 10 de septiembre de 2010, la Superintendencia de Banca, Seguros y Administradoras Privadas de Fondos de   Pensiones</w:t>
      </w:r>
      <w:r w:rsidRPr="00674BC9">
        <w:rPr>
          <w:rFonts w:ascii="Tahoma" w:hAnsi="Tahoma" w:cs="Tahoma"/>
          <w:sz w:val="20"/>
          <w:szCs w:val="20"/>
          <w:lang w:val="es-PE"/>
        </w:rPr>
        <w:t xml:space="preserve">, en adelante la Entidad, </w:t>
      </w:r>
      <w:r w:rsidRPr="00674BC9">
        <w:rPr>
          <w:rFonts w:ascii="Tahoma" w:hAnsi="Tahoma" w:cs="Tahoma"/>
          <w:sz w:val="20"/>
          <w:szCs w:val="20"/>
        </w:rPr>
        <w:t xml:space="preserve">convocó la Adjudicación Directa Selectiva № 004/2010-SBS, primera convocatoria, para la adquisición e instalación de materiales y accesorios para el sistema eléctrico, cableado estructurado y puestas a tierra para local de la Entidad, bajo el sistema de suma alzada, con un valor referencial US$ 39 800,00 (Treinta y nueve mil ochocientos y 00/100 dólares americanos), incluido los impuestos de Ley.  </w:t>
      </w:r>
    </w:p>
    <w:p w:rsidR="00674BC9" w:rsidRPr="00674BC9" w:rsidRDefault="00674BC9" w:rsidP="00674BC9">
      <w:pPr>
        <w:tabs>
          <w:tab w:val="left" w:pos="4320"/>
        </w:tabs>
        <w:ind w:left="567"/>
        <w:jc w:val="both"/>
        <w:rPr>
          <w:rFonts w:ascii="Tahoma" w:hAnsi="Tahoma" w:cs="Tahoma"/>
          <w:b/>
          <w:bCs/>
          <w:sz w:val="20"/>
          <w:szCs w:val="20"/>
        </w:rPr>
      </w:pPr>
    </w:p>
    <w:p w:rsidR="00674BC9" w:rsidRPr="00674BC9" w:rsidRDefault="00674BC9" w:rsidP="00674BC9">
      <w:pPr>
        <w:numPr>
          <w:ilvl w:val="0"/>
          <w:numId w:val="2"/>
        </w:numPr>
        <w:tabs>
          <w:tab w:val="clear" w:pos="720"/>
          <w:tab w:val="num" w:pos="567"/>
          <w:tab w:val="left" w:pos="4320"/>
        </w:tabs>
        <w:ind w:left="567" w:hanging="567"/>
        <w:jc w:val="both"/>
        <w:rPr>
          <w:rFonts w:ascii="Tahoma" w:hAnsi="Tahoma" w:cs="Tahoma"/>
          <w:sz w:val="20"/>
          <w:szCs w:val="20"/>
        </w:rPr>
      </w:pPr>
      <w:r w:rsidRPr="00674BC9">
        <w:rPr>
          <w:rFonts w:ascii="Tahoma" w:hAnsi="Tahoma" w:cs="Tahoma"/>
          <w:sz w:val="20"/>
          <w:szCs w:val="20"/>
        </w:rPr>
        <w:t>El 05 de octubre de 2010, luego de evaluarse las propuestas presentadas, se otorgó la Buena Pro a la empresa INGENIERIA Y PROYECTOS ELECTROMECANICOS INTEGRALES S.A.C., en adelante el Postor, por su oferta económica equivalente a la suma de US$ 38 000.00 dólares americanos. Cabe señalar, que el Acta de Otorgamiento de la Buena Pro fue publicada en la ficha del proceso de selección del SEACE el mismo día, mes y año.</w:t>
      </w:r>
    </w:p>
    <w:p w:rsidR="00674BC9" w:rsidRPr="00674BC9" w:rsidRDefault="00674BC9" w:rsidP="00674BC9">
      <w:pPr>
        <w:pStyle w:val="Prrafodelista"/>
        <w:jc w:val="both"/>
        <w:rPr>
          <w:rFonts w:ascii="Tahoma" w:hAnsi="Tahoma" w:cs="Tahoma"/>
          <w:sz w:val="20"/>
          <w:szCs w:val="20"/>
        </w:rPr>
      </w:pPr>
    </w:p>
    <w:p w:rsidR="00674BC9" w:rsidRPr="00674BC9" w:rsidRDefault="00674BC9" w:rsidP="00674BC9">
      <w:pPr>
        <w:numPr>
          <w:ilvl w:val="0"/>
          <w:numId w:val="2"/>
        </w:numPr>
        <w:tabs>
          <w:tab w:val="clear" w:pos="720"/>
          <w:tab w:val="num" w:pos="567"/>
          <w:tab w:val="left" w:pos="4320"/>
        </w:tabs>
        <w:ind w:left="567" w:hanging="567"/>
        <w:jc w:val="both"/>
        <w:rPr>
          <w:rFonts w:ascii="Tahoma" w:hAnsi="Tahoma" w:cs="Tahoma"/>
          <w:sz w:val="20"/>
          <w:szCs w:val="20"/>
        </w:rPr>
      </w:pPr>
      <w:r w:rsidRPr="00674BC9">
        <w:rPr>
          <w:rFonts w:ascii="Tahoma" w:hAnsi="Tahoma" w:cs="Tahoma"/>
          <w:sz w:val="20"/>
          <w:szCs w:val="20"/>
        </w:rPr>
        <w:t>Con Carta № 641-2010-DL de fecha 18 de octubre de 2010, notificado vía correo electrónico el mismo día mes y año, la Entidad requirió al Postor a fin que cumpliera con apersonarse para la suscripción del contrato dentro de un plazo no mayor a diez (10) días hábiles, plazo que a tenor de lo señalado en el documento vencía el 02 de noviembre de 2010, debiendo además remitir los documentos pertinentes para tal efecto.</w:t>
      </w:r>
    </w:p>
    <w:p w:rsidR="00674BC9" w:rsidRPr="00674BC9" w:rsidRDefault="00674BC9" w:rsidP="00674BC9">
      <w:pPr>
        <w:pStyle w:val="Prrafodelista"/>
        <w:rPr>
          <w:rFonts w:ascii="Tahoma" w:hAnsi="Tahoma" w:cs="Tahoma"/>
          <w:sz w:val="20"/>
          <w:szCs w:val="20"/>
        </w:rPr>
      </w:pPr>
    </w:p>
    <w:p w:rsidR="00674BC9" w:rsidRPr="00674BC9" w:rsidRDefault="00674BC9" w:rsidP="00674BC9">
      <w:pPr>
        <w:numPr>
          <w:ilvl w:val="0"/>
          <w:numId w:val="2"/>
        </w:numPr>
        <w:tabs>
          <w:tab w:val="clear" w:pos="720"/>
          <w:tab w:val="num" w:pos="567"/>
          <w:tab w:val="left" w:pos="4320"/>
        </w:tabs>
        <w:ind w:left="567" w:hanging="567"/>
        <w:jc w:val="both"/>
        <w:rPr>
          <w:rFonts w:ascii="Tahoma" w:hAnsi="Tahoma" w:cs="Tahoma"/>
          <w:sz w:val="20"/>
          <w:szCs w:val="20"/>
        </w:rPr>
      </w:pPr>
      <w:r w:rsidRPr="00674BC9">
        <w:rPr>
          <w:rFonts w:ascii="Tahoma" w:hAnsi="Tahoma" w:cs="Tahoma"/>
          <w:sz w:val="20"/>
          <w:szCs w:val="20"/>
        </w:rPr>
        <w:t xml:space="preserve">El 02 de noviembre de 2010, el Postor presentó de manera incompleta la documentación requerida con Carta № 641-2010-DL; razón por la cual, mediante Carta № 698-2010-DL, la Entidad le comunicó que al no haber cumplido con los requisitos para la firma del </w:t>
      </w:r>
      <w:r w:rsidRPr="00674BC9">
        <w:rPr>
          <w:rFonts w:ascii="Tahoma" w:hAnsi="Tahoma" w:cs="Tahoma"/>
          <w:sz w:val="20"/>
          <w:szCs w:val="20"/>
        </w:rPr>
        <w:lastRenderedPageBreak/>
        <w:t xml:space="preserve">contrato y no haberse constituido a la Entidad para la respectiva firma en el plazo establecido, había perdido la Buena Pro otorgada a su favor. </w:t>
      </w:r>
    </w:p>
    <w:p w:rsidR="00674BC9" w:rsidRPr="00674BC9" w:rsidRDefault="00674BC9" w:rsidP="00674BC9">
      <w:pPr>
        <w:pStyle w:val="Prrafodelista"/>
        <w:rPr>
          <w:rFonts w:ascii="Tahoma" w:hAnsi="Tahoma" w:cs="Tahoma"/>
          <w:sz w:val="20"/>
          <w:szCs w:val="20"/>
          <w:lang w:eastAsia="en-US"/>
        </w:rPr>
      </w:pPr>
    </w:p>
    <w:p w:rsidR="00674BC9" w:rsidRPr="00674BC9" w:rsidRDefault="00674BC9" w:rsidP="00674BC9">
      <w:pPr>
        <w:numPr>
          <w:ilvl w:val="0"/>
          <w:numId w:val="2"/>
        </w:numPr>
        <w:tabs>
          <w:tab w:val="clear" w:pos="720"/>
          <w:tab w:val="num" w:pos="567"/>
          <w:tab w:val="left" w:pos="4320"/>
        </w:tabs>
        <w:ind w:left="567" w:hanging="567"/>
        <w:jc w:val="both"/>
        <w:rPr>
          <w:rFonts w:ascii="Tahoma" w:hAnsi="Tahoma" w:cs="Tahoma"/>
          <w:sz w:val="20"/>
          <w:szCs w:val="20"/>
        </w:rPr>
      </w:pPr>
      <w:r w:rsidRPr="00674BC9">
        <w:rPr>
          <w:rFonts w:ascii="Tahoma" w:hAnsi="Tahoma" w:cs="Tahoma"/>
          <w:sz w:val="20"/>
          <w:szCs w:val="20"/>
          <w:lang w:eastAsia="en-US"/>
        </w:rPr>
        <w:t xml:space="preserve">Que, sin perjuicio de lo anterior, y de conformidad con lo establecido en el artículo 32 de la Ley № 27444 – Ley del Procedimiento Administrativo General, se dispuso efectuar la Fiscalización Posterior a la documentación presentada por el Postor en su de su propuesta Técnica. </w:t>
      </w:r>
    </w:p>
    <w:p w:rsidR="00674BC9" w:rsidRPr="00674BC9" w:rsidRDefault="00674BC9" w:rsidP="00674BC9">
      <w:pPr>
        <w:pStyle w:val="Prrafodelista"/>
        <w:rPr>
          <w:rFonts w:ascii="Tahoma" w:hAnsi="Tahoma" w:cs="Tahoma"/>
          <w:sz w:val="20"/>
          <w:szCs w:val="20"/>
        </w:rPr>
      </w:pPr>
    </w:p>
    <w:p w:rsidR="00674BC9" w:rsidRPr="00674BC9" w:rsidRDefault="00674BC9" w:rsidP="00674BC9">
      <w:pPr>
        <w:tabs>
          <w:tab w:val="num" w:pos="567"/>
          <w:tab w:val="left" w:pos="4320"/>
        </w:tabs>
        <w:ind w:left="567"/>
        <w:jc w:val="both"/>
        <w:rPr>
          <w:rFonts w:ascii="Tahoma" w:hAnsi="Tahoma" w:cs="Tahoma"/>
          <w:sz w:val="20"/>
          <w:szCs w:val="20"/>
        </w:rPr>
      </w:pPr>
      <w:r w:rsidRPr="00674BC9">
        <w:rPr>
          <w:rFonts w:ascii="Tahoma" w:hAnsi="Tahoma" w:cs="Tahoma"/>
          <w:sz w:val="20"/>
          <w:szCs w:val="20"/>
        </w:rPr>
        <w:t xml:space="preserve">En ese sentido, a través del Oficio № 57812-2010-SBS de fecha 07 de diciembre de 2010, la Entidad informó que como resultado de la fiscalización realizada posterior, se advirtió que los señores Jose Erlando Caycho Huamancondor y Julio Joel Caycho Huamancondor, eran Directores de la empresa Ingeniería y Proyectos Electromecánicos Integrales S.A.C. (el Postor), así como de la empresa Servicios Navales e Industriales San Pedro S.A., siendo está última sancionada con catorce (14) meses de inhabilitación temporal en sus derechos para participar en proceso de selección y contratar con el Estado, a tenor de la Resolución № 067-2010-TC-S4. En atención ello, la Entidad manifestó que el Postor se encontraba incurso en el literal K) del artículo 10 de la Ley de Contrataciones del Estado, por lo que, el Postor había presentado documentación inexacta, como parte de su propuesta técnica, consiste en el </w:t>
      </w:r>
      <w:r w:rsidRPr="00674BC9">
        <w:rPr>
          <w:rFonts w:ascii="Tahoma" w:hAnsi="Tahoma" w:cs="Tahoma"/>
          <w:sz w:val="20"/>
          <w:szCs w:val="20"/>
          <w:lang w:eastAsia="en-US"/>
        </w:rPr>
        <w:t>Anexo № 3 - Declaración Jurada del Artículo 42 del Reglamento de la Ley de Contrataciones.</w:t>
      </w:r>
    </w:p>
    <w:p w:rsidR="00674BC9" w:rsidRPr="00674BC9" w:rsidRDefault="00674BC9" w:rsidP="00674BC9">
      <w:pPr>
        <w:tabs>
          <w:tab w:val="left" w:pos="4320"/>
        </w:tabs>
        <w:ind w:left="567"/>
        <w:jc w:val="both"/>
        <w:rPr>
          <w:rFonts w:ascii="Tahoma" w:hAnsi="Tahoma" w:cs="Tahoma"/>
          <w:sz w:val="20"/>
          <w:szCs w:val="20"/>
        </w:rPr>
      </w:pPr>
    </w:p>
    <w:p w:rsidR="00674BC9" w:rsidRPr="00674BC9" w:rsidRDefault="00674BC9" w:rsidP="00674BC9">
      <w:pPr>
        <w:pStyle w:val="Prrafodelista"/>
        <w:numPr>
          <w:ilvl w:val="0"/>
          <w:numId w:val="2"/>
        </w:numPr>
        <w:tabs>
          <w:tab w:val="clear" w:pos="720"/>
          <w:tab w:val="num" w:pos="567"/>
          <w:tab w:val="left" w:pos="4320"/>
        </w:tabs>
        <w:ind w:left="567" w:hanging="567"/>
        <w:contextualSpacing/>
        <w:jc w:val="both"/>
        <w:rPr>
          <w:rFonts w:ascii="Tahoma" w:hAnsi="Tahoma" w:cs="Tahoma"/>
          <w:sz w:val="20"/>
          <w:szCs w:val="20"/>
        </w:rPr>
      </w:pPr>
      <w:r w:rsidRPr="00674BC9">
        <w:rPr>
          <w:rFonts w:ascii="Tahoma" w:hAnsi="Tahoma" w:cs="Tahoma"/>
          <w:sz w:val="20"/>
          <w:szCs w:val="20"/>
        </w:rPr>
        <w:t>Con Oficios № 56920-58509-2010-SBS presentados el 07 y 09 de diciembre de 2010, la Entidad puso en conocimiento del Tribunal de Contrataciones del Estado, en adelante el Tribunal, que el Postor no había cumplido con suscribir el contrato derivado de la Adjudicación Directa Selectiva № 004/2010-SBS. Asimismo, remitió el Oficio № 57812-2010-SBS, en el cual manifestó que el Postor habría presentado supuesta documentación falsa y/o inexacta durante el citado proceso de selección.</w:t>
      </w:r>
    </w:p>
    <w:p w:rsidR="00674BC9" w:rsidRPr="00674BC9" w:rsidRDefault="00674BC9" w:rsidP="00674BC9">
      <w:pPr>
        <w:pStyle w:val="Prrafodelista"/>
        <w:tabs>
          <w:tab w:val="left" w:pos="4320"/>
        </w:tabs>
        <w:ind w:left="567"/>
        <w:jc w:val="both"/>
        <w:rPr>
          <w:rFonts w:ascii="Tahoma" w:hAnsi="Tahoma" w:cs="Tahoma"/>
          <w:sz w:val="20"/>
          <w:szCs w:val="20"/>
        </w:rPr>
      </w:pPr>
    </w:p>
    <w:p w:rsidR="00674BC9" w:rsidRPr="00674BC9" w:rsidRDefault="00674BC9" w:rsidP="00674BC9">
      <w:pPr>
        <w:pStyle w:val="Prrafodelista"/>
        <w:numPr>
          <w:ilvl w:val="0"/>
          <w:numId w:val="2"/>
        </w:numPr>
        <w:tabs>
          <w:tab w:val="clear" w:pos="720"/>
          <w:tab w:val="num" w:pos="567"/>
          <w:tab w:val="left" w:pos="4320"/>
        </w:tabs>
        <w:ind w:left="567" w:hanging="567"/>
        <w:contextualSpacing/>
        <w:jc w:val="both"/>
        <w:rPr>
          <w:rFonts w:ascii="Tahoma" w:hAnsi="Tahoma" w:cs="Tahoma"/>
          <w:sz w:val="20"/>
          <w:szCs w:val="20"/>
        </w:rPr>
      </w:pPr>
      <w:r w:rsidRPr="00674BC9">
        <w:rPr>
          <w:rFonts w:ascii="Tahoma" w:hAnsi="Tahoma" w:cs="Tahoma"/>
          <w:bCs/>
          <w:sz w:val="20"/>
          <w:szCs w:val="20"/>
        </w:rPr>
        <w:t>Mediante decreto de 14 de diciembre de 2010</w:t>
      </w:r>
      <w:r w:rsidRPr="00674BC9">
        <w:rPr>
          <w:rFonts w:ascii="Tahoma" w:hAnsi="Tahoma" w:cs="Tahoma"/>
          <w:sz w:val="20"/>
          <w:szCs w:val="20"/>
        </w:rPr>
        <w:t xml:space="preserve">, notificado el 21 de enero de 2011, previamente al inicio del procedimiento administrativo sancionador, el Tribunal requirió a la Entidad, entre otros, que cumpla con remitir el Informe Técnico Legal de su asesoría sobre la procedencia y presunta responsabilidad del Postor al haber presentado supuesta documentación falsa y/o inexacta en la Adjudicación Directa Selectiva № 004/2010-SBS, así como </w:t>
      </w:r>
      <w:r w:rsidRPr="00674BC9">
        <w:rPr>
          <w:rFonts w:ascii="Tahoma" w:hAnsi="Tahoma" w:cs="Tahoma"/>
          <w:sz w:val="20"/>
          <w:szCs w:val="20"/>
          <w:lang w:val="es-PE"/>
        </w:rPr>
        <w:t xml:space="preserve">los documentos supuestamente falsos o inexactos presentados por el Postor en el respectivo proceso de selección, y de ser el caso, los documentos que acrediten la verificación posterior, </w:t>
      </w:r>
      <w:r w:rsidRPr="00674BC9">
        <w:rPr>
          <w:rFonts w:ascii="Tahoma" w:hAnsi="Tahoma" w:cs="Tahoma"/>
          <w:sz w:val="20"/>
          <w:szCs w:val="20"/>
        </w:rPr>
        <w:t>bajo apercibimiento de poner en conocimiento de la Controlaría General de la República.</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Prrafodelista"/>
        <w:numPr>
          <w:ilvl w:val="0"/>
          <w:numId w:val="2"/>
        </w:numPr>
        <w:tabs>
          <w:tab w:val="clear" w:pos="720"/>
          <w:tab w:val="num" w:pos="567"/>
          <w:tab w:val="left" w:pos="4320"/>
        </w:tabs>
        <w:ind w:left="567" w:hanging="567"/>
        <w:contextualSpacing/>
        <w:jc w:val="both"/>
        <w:rPr>
          <w:rFonts w:ascii="Tahoma" w:hAnsi="Tahoma" w:cs="Tahoma"/>
          <w:sz w:val="20"/>
          <w:szCs w:val="20"/>
        </w:rPr>
      </w:pPr>
      <w:r w:rsidRPr="00674BC9">
        <w:rPr>
          <w:rFonts w:ascii="Tahoma" w:hAnsi="Tahoma" w:cs="Tahoma"/>
          <w:sz w:val="20"/>
          <w:szCs w:val="20"/>
        </w:rPr>
        <w:t>En atención a ello, a través del Oficio № 5538-2011-SBS presentado el 28 de enero de 2011, la Entidad cumplió con remitir la documentación solicitada por el Tribunal.</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Textoindependiente"/>
        <w:numPr>
          <w:ilvl w:val="0"/>
          <w:numId w:val="2"/>
        </w:numPr>
        <w:tabs>
          <w:tab w:val="left" w:pos="-2340"/>
        </w:tabs>
        <w:ind w:left="567" w:hanging="567"/>
        <w:rPr>
          <w:rFonts w:cs="Tahoma"/>
          <w:sz w:val="20"/>
        </w:rPr>
      </w:pPr>
      <w:r w:rsidRPr="00674BC9">
        <w:rPr>
          <w:rFonts w:cs="Tahoma"/>
          <w:sz w:val="20"/>
        </w:rPr>
        <w:t xml:space="preserve">Mediante decreto de fecha 02 de febrero de 2011, notificado el 11 de marzo del mismo año, el Tribunal inició procedimiento administrativo sancionador contra el Postor por haber omitido injustificadamente suscribir el contrato, así como por haber presentado el documento denominado </w:t>
      </w:r>
      <w:r w:rsidRPr="00674BC9">
        <w:rPr>
          <w:rFonts w:cs="Tahoma"/>
          <w:sz w:val="20"/>
          <w:lang w:eastAsia="en-US"/>
        </w:rPr>
        <w:t>Anexo № 3 - Declaración Jurada del Artículo 42 del Reglamento de la Ley de Contrataciones</w:t>
      </w:r>
      <w:r w:rsidRPr="00674BC9">
        <w:rPr>
          <w:rFonts w:cs="Tahoma"/>
          <w:sz w:val="20"/>
        </w:rPr>
        <w:t xml:space="preserve">, documento supuestamente falso y/o inexacto, infracciones tipificadas en los literales b) e i) del numeral 51.1 del artículo 51 de la Ley  en </w:t>
      </w:r>
      <w:r w:rsidRPr="00674BC9">
        <w:rPr>
          <w:rFonts w:cs="Tahoma"/>
          <w:sz w:val="20"/>
        </w:rPr>
        <w:lastRenderedPageBreak/>
        <w:t>concordancia en los literales a) e i) del numeral 1 del artículo 237 del Reglamento de la Ley de Contrataciones del Estado . Asimismo, le otorgó el plazo de diez (10) días para que presentara sus descargos.</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Textoindependiente"/>
        <w:numPr>
          <w:ilvl w:val="0"/>
          <w:numId w:val="2"/>
        </w:numPr>
        <w:tabs>
          <w:tab w:val="left" w:pos="-2340"/>
        </w:tabs>
        <w:ind w:left="567" w:hanging="567"/>
        <w:rPr>
          <w:rFonts w:cs="Tahoma"/>
          <w:sz w:val="20"/>
        </w:rPr>
      </w:pPr>
      <w:r w:rsidRPr="00674BC9">
        <w:rPr>
          <w:rFonts w:cs="Tahoma"/>
          <w:sz w:val="20"/>
        </w:rPr>
        <w:t>El 25 de marzo de 2011, mediante escrito s/n, el representante legal del Postor presentó su escrito de descargos, manifestando lo siguiente: “</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Textoindependiente"/>
        <w:numPr>
          <w:ilvl w:val="0"/>
          <w:numId w:val="19"/>
        </w:numPr>
        <w:tabs>
          <w:tab w:val="left" w:pos="-2340"/>
        </w:tabs>
        <w:rPr>
          <w:rFonts w:cs="Tahoma"/>
          <w:sz w:val="20"/>
        </w:rPr>
      </w:pPr>
      <w:r w:rsidRPr="00674BC9">
        <w:rPr>
          <w:rFonts w:cs="Tahoma"/>
          <w:sz w:val="20"/>
        </w:rPr>
        <w:t>La empresa Ingeniería Y Proyectos Electromecánicos Integrales S.A.C., tiene como accionistas a los señores: Julio Joel Caycho Huamancondor (40% de acciones), José Erland Caycho Huamancondor (40% de acciones), Julia Huamancondor Acero (20% de acciones).</w:t>
      </w:r>
    </w:p>
    <w:p w:rsidR="00674BC9" w:rsidRPr="00674BC9" w:rsidRDefault="00674BC9" w:rsidP="00674BC9">
      <w:pPr>
        <w:pStyle w:val="Textoindependiente"/>
        <w:tabs>
          <w:tab w:val="left" w:pos="-2340"/>
        </w:tabs>
        <w:ind w:left="1287"/>
        <w:rPr>
          <w:rFonts w:cs="Tahoma"/>
          <w:sz w:val="20"/>
        </w:rPr>
      </w:pPr>
    </w:p>
    <w:p w:rsidR="00674BC9" w:rsidRPr="00674BC9" w:rsidRDefault="00674BC9" w:rsidP="00674BC9">
      <w:pPr>
        <w:pStyle w:val="Textoindependiente"/>
        <w:numPr>
          <w:ilvl w:val="0"/>
          <w:numId w:val="19"/>
        </w:numPr>
        <w:tabs>
          <w:tab w:val="left" w:pos="-2340"/>
        </w:tabs>
        <w:rPr>
          <w:rFonts w:cs="Tahoma"/>
          <w:sz w:val="20"/>
        </w:rPr>
      </w:pPr>
      <w:r w:rsidRPr="00674BC9">
        <w:rPr>
          <w:rFonts w:cs="Tahoma"/>
          <w:sz w:val="20"/>
        </w:rPr>
        <w:t>La empresa Servicios Navales e Industriales San Pedro S.A., tiene como accionistas a los señores: José Patrocinio Caycho Acosta (98% de acciones), Julio Joel Caycho Huamancondor, José Erland Caycho Huamancondor, con 1% de acciones cada uno, respectivamente. En el año 2002 fueron nombrados Directores de la empresa los señores Julio Joel Caycho Huamancondor, José Erland Caycho Huamancondor, cargo que ejercieron hasta el 02 de enero de 2009, fecha que presentaron su renuncia irrevocable.</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Textoindependiente"/>
        <w:numPr>
          <w:ilvl w:val="0"/>
          <w:numId w:val="19"/>
        </w:numPr>
        <w:tabs>
          <w:tab w:val="left" w:pos="-2340"/>
        </w:tabs>
        <w:rPr>
          <w:rFonts w:cs="Tahoma"/>
          <w:sz w:val="20"/>
        </w:rPr>
      </w:pPr>
      <w:r w:rsidRPr="00674BC9">
        <w:rPr>
          <w:rFonts w:cs="Tahoma"/>
          <w:sz w:val="20"/>
        </w:rPr>
        <w:t>Que, la empresa Servicios Navales e Industriales San Pedro S.A., con fecha 02 de enero de 2009, recepciono 02 cartas de renuncia irrevocables a los cargos de Directores, presentadas por los señores Julio Joel Caycho Huamancondor, José Erland Caycho Huamancondor, las cuales no han sido incritas en el Registro Mercantil de los Registro Públicos de Lima – Callao, en esa oportunidad.</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Textoindependiente"/>
        <w:numPr>
          <w:ilvl w:val="0"/>
          <w:numId w:val="19"/>
        </w:numPr>
        <w:tabs>
          <w:tab w:val="left" w:pos="-2340"/>
        </w:tabs>
        <w:rPr>
          <w:rFonts w:cs="Tahoma"/>
          <w:sz w:val="20"/>
        </w:rPr>
      </w:pPr>
      <w:r w:rsidRPr="00674BC9">
        <w:rPr>
          <w:rFonts w:cs="Tahoma"/>
          <w:sz w:val="20"/>
        </w:rPr>
        <w:t>Que, la Declaracion Jurada de fecha 30 de septiembre de 2010, es un documento autentico, en vista que mi representada (Ingeniería Y Proyectos Electromecánicos Integrales S.A.C.), al igual que el recurrente (Julio Joel Caycho Huamancondor) no están sancionados por el Tribunal.</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Textoindependiente"/>
        <w:numPr>
          <w:ilvl w:val="0"/>
          <w:numId w:val="19"/>
        </w:numPr>
        <w:tabs>
          <w:tab w:val="left" w:pos="-2340"/>
        </w:tabs>
        <w:rPr>
          <w:rFonts w:cs="Tahoma"/>
          <w:sz w:val="20"/>
        </w:rPr>
      </w:pPr>
      <w:r w:rsidRPr="00674BC9">
        <w:rPr>
          <w:rFonts w:cs="Tahoma"/>
          <w:sz w:val="20"/>
        </w:rPr>
        <w:t xml:space="preserve">Por lo tanto, al no haber cumplido la Entidad con contestarnos las solicitudes realizadas por mi representada a fin de suscribir el contrato, y no estando impedido para ser postor y/o contratista, solicitó que este Colegiado declare no ha lugar a la imposición de sanción administrativa. </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Textoindependiente"/>
        <w:numPr>
          <w:ilvl w:val="0"/>
          <w:numId w:val="2"/>
        </w:numPr>
        <w:tabs>
          <w:tab w:val="left" w:pos="-2340"/>
        </w:tabs>
        <w:ind w:left="567" w:hanging="567"/>
        <w:rPr>
          <w:rFonts w:cs="Tahoma"/>
          <w:sz w:val="20"/>
        </w:rPr>
      </w:pPr>
      <w:r w:rsidRPr="00674BC9">
        <w:rPr>
          <w:rFonts w:cs="Tahoma"/>
          <w:sz w:val="20"/>
        </w:rPr>
        <w:t>Mediante decreto de fecha 30 de marzo de 2011, se tuvo por apersonado al Postor a la instancia administrativa, y se remitió el expediente a la Primera Sala del Tribunal para que resolviera.</w:t>
      </w:r>
    </w:p>
    <w:p w:rsidR="006B4461" w:rsidRPr="00674BC9" w:rsidRDefault="006B4461" w:rsidP="006B4461">
      <w:pPr>
        <w:widowControl w:val="0"/>
        <w:autoSpaceDE w:val="0"/>
        <w:autoSpaceDN w:val="0"/>
        <w:adjustRightInd w:val="0"/>
        <w:ind w:left="567"/>
        <w:jc w:val="both"/>
        <w:rPr>
          <w:rFonts w:ascii="Tahoma" w:hAnsi="Tahoma" w:cs="Tahoma"/>
          <w:sz w:val="20"/>
          <w:szCs w:val="20"/>
          <w:lang w:val="es-PE"/>
        </w:rPr>
      </w:pPr>
    </w:p>
    <w:p w:rsidR="00F31A7A" w:rsidRPr="00674BC9" w:rsidRDefault="00F31A7A" w:rsidP="00F31A7A">
      <w:pPr>
        <w:pStyle w:val="Textoindependiente"/>
        <w:tabs>
          <w:tab w:val="left" w:pos="-2340"/>
          <w:tab w:val="left" w:pos="567"/>
        </w:tabs>
        <w:ind w:left="567" w:hanging="567"/>
        <w:rPr>
          <w:rFonts w:cs="Tahoma"/>
          <w:b/>
          <w:shadow/>
          <w:sz w:val="20"/>
        </w:rPr>
      </w:pPr>
      <w:r w:rsidRPr="00674BC9">
        <w:rPr>
          <w:rFonts w:cs="Tahoma"/>
          <w:b/>
          <w:shadow/>
          <w:sz w:val="20"/>
        </w:rPr>
        <w:t>FUNDAMENTACIÓN:</w:t>
      </w:r>
      <w:r w:rsidRPr="00674BC9">
        <w:rPr>
          <w:rFonts w:cs="Tahoma"/>
          <w:b/>
          <w:shadow/>
          <w:sz w:val="20"/>
        </w:rPr>
        <w:tab/>
      </w:r>
    </w:p>
    <w:p w:rsidR="00F31A7A" w:rsidRPr="00674BC9" w:rsidRDefault="00F31A7A" w:rsidP="00F31A7A">
      <w:pPr>
        <w:rPr>
          <w:rFonts w:ascii="Tahoma" w:hAnsi="Tahoma" w:cs="Tahoma"/>
          <w:sz w:val="20"/>
          <w:szCs w:val="20"/>
        </w:rPr>
      </w:pPr>
      <w:r w:rsidRPr="00674BC9">
        <w:rPr>
          <w:rFonts w:ascii="Tahoma" w:hAnsi="Tahoma" w:cs="Tahoma"/>
          <w:sz w:val="20"/>
          <w:szCs w:val="20"/>
        </w:rPr>
        <w:t xml:space="preserve"> </w:t>
      </w: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w:t>
      </w:r>
    </w:p>
    <w:p w:rsidR="00674BC9" w:rsidRPr="00674BC9" w:rsidRDefault="00674BC9" w:rsidP="00674BC9">
      <w:pPr>
        <w:pStyle w:val="Prrafodelista"/>
        <w:tabs>
          <w:tab w:val="num" w:pos="567"/>
        </w:tabs>
        <w:ind w:left="567" w:hanging="567"/>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lastRenderedPageBreak/>
        <w:t xml:space="preserve">En ese sentido, el Tribunal es el órgano que tiene a su cargo el conocimiento y resolución de los procedimientos de imposición de sanción de inhabilitación temporal o definitiva para contratar con el Estado, en los casos expresamente tipificados en el artículo </w:t>
      </w:r>
      <w:r w:rsidRPr="00674BC9">
        <w:rPr>
          <w:rFonts w:ascii="Tahoma" w:hAnsi="Tahoma" w:cs="Tahoma"/>
          <w:sz w:val="20"/>
          <w:szCs w:val="20"/>
          <w:lang w:val="es-MX"/>
        </w:rPr>
        <w:t>51 y 52 de la Ley de Contrataciones del Estado,</w:t>
      </w:r>
      <w:r w:rsidRPr="00674BC9">
        <w:rPr>
          <w:rFonts w:ascii="Tahoma" w:hAnsi="Tahoma" w:cs="Tahoma"/>
          <w:sz w:val="20"/>
          <w:szCs w:val="20"/>
        </w:rPr>
        <w:t xml:space="preserve"> aprobada mediante Decreto Legislativo № 1017,</w:t>
      </w:r>
      <w:r w:rsidRPr="00674BC9">
        <w:rPr>
          <w:rFonts w:ascii="Tahoma" w:hAnsi="Tahoma" w:cs="Tahoma"/>
          <w:sz w:val="20"/>
          <w:szCs w:val="20"/>
          <w:lang w:val="es-MX"/>
        </w:rPr>
        <w:t xml:space="preserve"> </w:t>
      </w:r>
      <w:r w:rsidRPr="00674BC9">
        <w:rPr>
          <w:rFonts w:ascii="Tahoma" w:hAnsi="Tahoma" w:cs="Tahoma"/>
          <w:sz w:val="20"/>
          <w:szCs w:val="20"/>
        </w:rPr>
        <w:t>norma aplicable al momento de la presunta comisión de la infracción</w:t>
      </w:r>
      <w:r w:rsidRPr="00674BC9">
        <w:rPr>
          <w:rFonts w:ascii="Tahoma" w:hAnsi="Tahoma" w:cs="Tahoma"/>
          <w:sz w:val="20"/>
          <w:szCs w:val="20"/>
          <w:lang w:val="es-MX"/>
        </w:rPr>
        <w:t xml:space="preserve">, y en los casos expresamente previstos en el artículo 237 de su Reglamento, aprobado mediante Decreto Supremo </w:t>
      </w:r>
      <w:r w:rsidRPr="00674BC9">
        <w:rPr>
          <w:rFonts w:ascii="Tahoma" w:hAnsi="Tahoma" w:cs="Tahoma"/>
          <w:sz w:val="20"/>
          <w:szCs w:val="20"/>
        </w:rPr>
        <w:t xml:space="preserve">№ 184-2008-EF, </w:t>
      </w:r>
      <w:r w:rsidRPr="00674BC9">
        <w:rPr>
          <w:rFonts w:ascii="Tahoma" w:hAnsi="Tahoma" w:cs="Tahoma"/>
          <w:sz w:val="20"/>
          <w:szCs w:val="20"/>
          <w:lang w:val="es-MX"/>
        </w:rPr>
        <w:t>sin perjuicio de las acciones legales que correspondan adoptar a la Entidades, dentro de sus respectivas atribuciones, en salvaguarda de sus intereses</w:t>
      </w:r>
      <w:r w:rsidRPr="00674BC9">
        <w:rPr>
          <w:rFonts w:ascii="Tahoma" w:hAnsi="Tahoma" w:cs="Tahoma"/>
          <w:sz w:val="20"/>
          <w:szCs w:val="20"/>
        </w:rPr>
        <w:t>.</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El presente procedimiento está referido a la supuesta responsabilidad del Postor por haber omitido injustificadamente suscribir el contrato, así como por la presentación de información falsa y/o inexacta, cuyas infracciones están tipificadas en los literales a) e i) del numeral 51.1 del artículo 51 de la Ley en concordancia con los literales a) e i) del numeral 1 del artículo 237 del Reglamento, norma vigente al momento de suscitarse los hechos imputados.</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Prrafodelista"/>
        <w:ind w:left="567"/>
        <w:jc w:val="both"/>
        <w:rPr>
          <w:rFonts w:ascii="Tahoma" w:hAnsi="Tahoma" w:cs="Tahoma"/>
          <w:bCs/>
          <w:sz w:val="20"/>
          <w:szCs w:val="20"/>
        </w:rPr>
      </w:pPr>
      <w:r w:rsidRPr="00674BC9">
        <w:rPr>
          <w:rFonts w:ascii="Tahoma" w:hAnsi="Tahoma" w:cs="Tahoma"/>
          <w:sz w:val="20"/>
          <w:szCs w:val="20"/>
        </w:rPr>
        <w:t xml:space="preserve">A continuación, este Colegiado evaluará de manera independiente cada una de las </w:t>
      </w:r>
      <w:r w:rsidRPr="00674BC9">
        <w:rPr>
          <w:rFonts w:ascii="Tahoma" w:hAnsi="Tahoma" w:cs="Tahoma"/>
          <w:bCs/>
          <w:sz w:val="20"/>
          <w:szCs w:val="20"/>
        </w:rPr>
        <w:t>causales precitadas.</w:t>
      </w:r>
    </w:p>
    <w:p w:rsidR="00674BC9" w:rsidRPr="00674BC9" w:rsidRDefault="00674BC9" w:rsidP="00674BC9">
      <w:pPr>
        <w:pStyle w:val="Prrafodelista"/>
        <w:ind w:left="567"/>
        <w:jc w:val="both"/>
        <w:rPr>
          <w:rFonts w:ascii="Tahoma" w:hAnsi="Tahoma" w:cs="Tahoma"/>
          <w:sz w:val="20"/>
          <w:szCs w:val="20"/>
        </w:rPr>
      </w:pPr>
    </w:p>
    <w:p w:rsidR="00674BC9" w:rsidRPr="00674BC9" w:rsidRDefault="00674BC9" w:rsidP="00674BC9">
      <w:pPr>
        <w:pStyle w:val="Textoindependiente"/>
        <w:tabs>
          <w:tab w:val="left" w:pos="-2340"/>
          <w:tab w:val="left" w:pos="567"/>
        </w:tabs>
        <w:ind w:left="567" w:hanging="567"/>
        <w:rPr>
          <w:rFonts w:cs="Tahoma"/>
          <w:b/>
          <w:bCs/>
          <w:shadow/>
          <w:sz w:val="20"/>
          <w:u w:val="single"/>
        </w:rPr>
      </w:pPr>
      <w:r w:rsidRPr="00674BC9">
        <w:rPr>
          <w:rFonts w:cs="Tahoma"/>
          <w:b/>
          <w:bCs/>
          <w:shadow/>
          <w:sz w:val="20"/>
        </w:rPr>
        <w:t xml:space="preserve">(i)   </w:t>
      </w:r>
      <w:r w:rsidRPr="00674BC9">
        <w:rPr>
          <w:rFonts w:cs="Tahoma"/>
          <w:b/>
          <w:bCs/>
          <w:shadow/>
          <w:sz w:val="20"/>
          <w:u w:val="single"/>
        </w:rPr>
        <w:t>Sobre la supuesta responsabilidad  por la no suscripción injustificada del contrato como consecuencia del otorgamiento de la Buena Pro de la Adjudicación Directa Selectiva № 004/2010-SBS, primera convocatoria</w:t>
      </w:r>
      <w:r w:rsidRPr="00674BC9">
        <w:rPr>
          <w:rFonts w:cs="Tahoma"/>
          <w:b/>
          <w:bCs/>
          <w:shadow/>
          <w:sz w:val="20"/>
        </w:rPr>
        <w:t>:</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Prrafodelista"/>
        <w:numPr>
          <w:ilvl w:val="0"/>
          <w:numId w:val="1"/>
        </w:numPr>
        <w:tabs>
          <w:tab w:val="clear" w:pos="360"/>
          <w:tab w:val="num" w:pos="0"/>
        </w:tabs>
        <w:ind w:left="567" w:hanging="567"/>
        <w:contextualSpacing/>
        <w:jc w:val="both"/>
        <w:rPr>
          <w:rFonts w:ascii="Tahoma" w:hAnsi="Tahoma" w:cs="Tahoma"/>
          <w:sz w:val="20"/>
          <w:szCs w:val="20"/>
        </w:rPr>
      </w:pPr>
      <w:r w:rsidRPr="00674BC9">
        <w:rPr>
          <w:rFonts w:ascii="Tahoma" w:hAnsi="Tahoma" w:cs="Tahoma"/>
          <w:sz w:val="20"/>
          <w:szCs w:val="20"/>
        </w:rPr>
        <w:t>La infracción imputa al Postor corresponde al supuesto de hecho del tipo legal previsto en el literal a) del numeral 51.1 del artículo 51 de la Ley en concordancia con el literal a) del numeral 1 del artículo 237 del Reglamento</w:t>
      </w:r>
      <w:r w:rsidRPr="00674BC9">
        <w:rPr>
          <w:rStyle w:val="Refdenotaalpie"/>
          <w:rFonts w:ascii="Tahoma" w:hAnsi="Tahoma" w:cs="Tahoma"/>
          <w:sz w:val="20"/>
          <w:szCs w:val="20"/>
        </w:rPr>
        <w:footnoteReference w:id="2"/>
      </w:r>
      <w:r w:rsidRPr="00674BC9">
        <w:rPr>
          <w:rFonts w:ascii="Tahoma" w:hAnsi="Tahoma" w:cs="Tahoma"/>
          <w:sz w:val="20"/>
          <w:szCs w:val="20"/>
        </w:rPr>
        <w:t>.</w:t>
      </w:r>
    </w:p>
    <w:p w:rsidR="00674BC9" w:rsidRPr="00674BC9" w:rsidRDefault="00674BC9" w:rsidP="00674BC9">
      <w:pPr>
        <w:pStyle w:val="Prrafodelista"/>
        <w:ind w:left="567"/>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La causal imputada le es atribuible a aquel postor que, habiendo sido favorecido con el otorgamiento de la Buena Pro, se niegue u omita suscribir el contrato, sea porque no se presente para dicho propósito en la fecha correspondiente o bien porque no cumpla con presentar los documentos indispensables para tal fin.</w:t>
      </w:r>
    </w:p>
    <w:p w:rsidR="00674BC9" w:rsidRPr="00674BC9" w:rsidRDefault="00674BC9" w:rsidP="00674BC9">
      <w:pPr>
        <w:pStyle w:val="Prrafodelista"/>
        <w:rPr>
          <w:rFonts w:ascii="Tahoma" w:hAnsi="Tahoma" w:cs="Tahoma"/>
          <w:sz w:val="20"/>
          <w:szCs w:val="20"/>
        </w:rPr>
      </w:pPr>
    </w:p>
    <w:p w:rsidR="00674BC9" w:rsidRPr="00674BC9" w:rsidRDefault="00674BC9" w:rsidP="00674BC9">
      <w:pPr>
        <w:numPr>
          <w:ilvl w:val="0"/>
          <w:numId w:val="1"/>
        </w:numPr>
        <w:tabs>
          <w:tab w:val="clear" w:pos="360"/>
          <w:tab w:val="num" w:pos="567"/>
        </w:tabs>
        <w:ind w:left="567" w:hanging="567"/>
        <w:jc w:val="both"/>
        <w:rPr>
          <w:rFonts w:ascii="Tahoma" w:hAnsi="Tahoma" w:cs="Tahoma"/>
          <w:sz w:val="20"/>
          <w:szCs w:val="20"/>
        </w:rPr>
      </w:pPr>
      <w:r w:rsidRPr="00674BC9">
        <w:rPr>
          <w:rFonts w:ascii="Tahoma" w:hAnsi="Tahoma" w:cs="Tahoma"/>
          <w:sz w:val="20"/>
          <w:szCs w:val="20"/>
          <w:lang w:val="es-MX"/>
        </w:rPr>
        <w:t xml:space="preserve">Conforme a los criterios utilizados por el Tribunal en anteriores oportunidades, para que </w:t>
      </w:r>
      <w:r w:rsidRPr="00674BC9">
        <w:rPr>
          <w:rFonts w:ascii="Tahoma" w:hAnsi="Tahoma" w:cs="Tahoma"/>
          <w:sz w:val="20"/>
          <w:szCs w:val="20"/>
        </w:rPr>
        <w:t xml:space="preserve">dicha infracción se configure debe acreditarse, en principio, que la Entidad siguió el procedimiento formal para la suscripción del contrato regulado en el artículo 148 del Reglamento (análisis de forma) y, de haberse efectivamente seguido tal procedimiento, verificar si la omisión de tal suscripción se debió a causa no imputable al postor y sobreviniente al otorgamiento de la buena pro, en cuyo caso se le deberá eximir de sanción (análisis sustancial). </w:t>
      </w:r>
    </w:p>
    <w:p w:rsidR="00674BC9" w:rsidRPr="00674BC9" w:rsidRDefault="00674BC9" w:rsidP="00674BC9">
      <w:pPr>
        <w:pStyle w:val="Prrafodelista"/>
        <w:jc w:val="both"/>
        <w:rPr>
          <w:rFonts w:ascii="Tahoma" w:hAnsi="Tahoma" w:cs="Tahoma"/>
          <w:sz w:val="20"/>
          <w:szCs w:val="20"/>
        </w:rPr>
      </w:pPr>
    </w:p>
    <w:p w:rsidR="00674BC9" w:rsidRPr="00674BC9" w:rsidRDefault="00674BC9" w:rsidP="00674BC9">
      <w:pPr>
        <w:numPr>
          <w:ilvl w:val="0"/>
          <w:numId w:val="1"/>
        </w:numPr>
        <w:tabs>
          <w:tab w:val="clear" w:pos="360"/>
          <w:tab w:val="num" w:pos="567"/>
        </w:tabs>
        <w:ind w:left="567" w:hanging="567"/>
        <w:jc w:val="both"/>
        <w:rPr>
          <w:rFonts w:ascii="Tahoma" w:hAnsi="Tahoma" w:cs="Tahoma"/>
          <w:sz w:val="20"/>
          <w:szCs w:val="20"/>
        </w:rPr>
      </w:pPr>
      <w:r w:rsidRPr="00674BC9">
        <w:rPr>
          <w:rFonts w:ascii="Tahoma" w:hAnsi="Tahoma" w:cs="Tahoma"/>
          <w:sz w:val="20"/>
          <w:szCs w:val="20"/>
        </w:rPr>
        <w:t xml:space="preserve">De lo antes mencionado, se evidencia que para el presente caso, </w:t>
      </w:r>
      <w:r w:rsidRPr="00674BC9">
        <w:rPr>
          <w:rFonts w:ascii="Tahoma" w:hAnsi="Tahoma" w:cs="Tahoma"/>
          <w:sz w:val="20"/>
          <w:szCs w:val="20"/>
          <w:lang w:val="es-MX"/>
        </w:rPr>
        <w:t>p</w:t>
      </w:r>
      <w:r w:rsidRPr="00674BC9">
        <w:rPr>
          <w:rFonts w:ascii="Tahoma" w:hAnsi="Tahoma" w:cs="Tahoma"/>
          <w:sz w:val="20"/>
          <w:szCs w:val="20"/>
        </w:rPr>
        <w:t xml:space="preserve">ara la configuración del supuesto de hecho contenido en la norma acotada, se requiere previamente acreditar que la Entidad haya respetado el procedimiento de suscripción del contrato conforme a lo </w:t>
      </w:r>
      <w:r w:rsidRPr="00674BC9">
        <w:rPr>
          <w:rFonts w:ascii="Tahoma" w:hAnsi="Tahoma" w:cs="Tahoma"/>
          <w:sz w:val="20"/>
          <w:szCs w:val="20"/>
        </w:rPr>
        <w:lastRenderedPageBreak/>
        <w:t xml:space="preserve">previsto en el numeral 1) del artículo 148 del Reglamento, que dispone que, dentro de los dos (2) días hábiles siguientes al consentimiento de la buena pro, la Entidad deberá citar al postor ganador, otorgándole el plazo establecido en las bases, el cual no podrá ser menor de cinco (5) ni mayor de diez (10) días hábiles, dentro del cual deberá presentarse a la sede de la Entidad para suscribir el contrato con toda la documentación requerida. </w:t>
      </w:r>
    </w:p>
    <w:p w:rsidR="00674BC9" w:rsidRPr="00674BC9" w:rsidRDefault="00674BC9" w:rsidP="00674BC9">
      <w:pPr>
        <w:pStyle w:val="Prrafodelista"/>
        <w:jc w:val="both"/>
        <w:rPr>
          <w:rFonts w:ascii="Tahoma" w:hAnsi="Tahoma" w:cs="Tahoma"/>
          <w:sz w:val="20"/>
          <w:szCs w:val="20"/>
        </w:rPr>
      </w:pPr>
    </w:p>
    <w:p w:rsidR="00674BC9" w:rsidRPr="00674BC9" w:rsidRDefault="00674BC9" w:rsidP="00674BC9">
      <w:pPr>
        <w:numPr>
          <w:ilvl w:val="0"/>
          <w:numId w:val="1"/>
        </w:numPr>
        <w:tabs>
          <w:tab w:val="clear" w:pos="360"/>
          <w:tab w:val="num" w:pos="567"/>
        </w:tabs>
        <w:ind w:left="567" w:hanging="567"/>
        <w:jc w:val="both"/>
        <w:rPr>
          <w:rFonts w:ascii="Tahoma" w:hAnsi="Tahoma" w:cs="Tahoma"/>
          <w:sz w:val="20"/>
          <w:szCs w:val="20"/>
        </w:rPr>
      </w:pPr>
      <w:r w:rsidRPr="00674BC9">
        <w:rPr>
          <w:rFonts w:ascii="Tahoma" w:hAnsi="Tahoma" w:cs="Tahoma"/>
          <w:sz w:val="20"/>
          <w:szCs w:val="20"/>
        </w:rPr>
        <w:t>Los plazos mencionados precedentemente han sido previstos por la norma de la materia a favor del postor ganador de la Buena Pro, constituyendo un límite a la actuación de la Entidad a fin que ésta no le otorgue plazos arbitrarios que le impidan recabar los documentos necesarios para la respectiva suscripción del contrato. Es decir, el procedimiento antes anotado resulta de observancia obligatoria para todas las Entidades, de modo que si el Tribunal advierte que la Entidad no cumplió con seguirlo, deberá declarar que no existe mérito para la imposición de sanción y ordenar el archivamiento del expediente.</w:t>
      </w:r>
    </w:p>
    <w:p w:rsidR="00674BC9" w:rsidRPr="00674BC9" w:rsidRDefault="00674BC9" w:rsidP="00674BC9">
      <w:pPr>
        <w:pStyle w:val="Prrafodelista"/>
        <w:jc w:val="both"/>
        <w:rPr>
          <w:rFonts w:ascii="Tahoma" w:hAnsi="Tahoma" w:cs="Tahoma"/>
          <w:sz w:val="20"/>
          <w:szCs w:val="20"/>
        </w:rPr>
      </w:pPr>
    </w:p>
    <w:p w:rsidR="00674BC9" w:rsidRPr="00674BC9" w:rsidRDefault="00674BC9" w:rsidP="00674BC9">
      <w:pPr>
        <w:numPr>
          <w:ilvl w:val="0"/>
          <w:numId w:val="1"/>
        </w:numPr>
        <w:tabs>
          <w:tab w:val="clear" w:pos="360"/>
          <w:tab w:val="num" w:pos="567"/>
        </w:tabs>
        <w:ind w:left="567" w:hanging="567"/>
        <w:jc w:val="both"/>
        <w:rPr>
          <w:rFonts w:ascii="Tahoma" w:hAnsi="Tahoma" w:cs="Tahoma"/>
          <w:b/>
          <w:sz w:val="20"/>
          <w:szCs w:val="20"/>
          <w:u w:val="single"/>
        </w:rPr>
      </w:pPr>
      <w:r w:rsidRPr="00674BC9">
        <w:rPr>
          <w:rFonts w:ascii="Tahoma" w:hAnsi="Tahoma" w:cs="Tahoma"/>
          <w:sz w:val="20"/>
          <w:szCs w:val="20"/>
        </w:rPr>
        <w:t>Lo expuesto en los párrafos precedentes encuentra concordancia con lo dispuesto en el Acuerdo de Sala Plena № 007/009 del 25 de junio de 2009, adoptado por mayoría, el mismo que es de observancia obligatoria.</w:t>
      </w:r>
    </w:p>
    <w:p w:rsidR="00674BC9" w:rsidRPr="00674BC9" w:rsidRDefault="00674BC9" w:rsidP="00674BC9">
      <w:pPr>
        <w:pStyle w:val="Prrafodelista"/>
        <w:jc w:val="both"/>
        <w:rPr>
          <w:rFonts w:ascii="Tahoma" w:hAnsi="Tahoma" w:cs="Tahoma"/>
          <w:sz w:val="20"/>
          <w:szCs w:val="20"/>
          <w:lang w:val="es-ES_tradnl"/>
        </w:rPr>
      </w:pPr>
    </w:p>
    <w:p w:rsidR="00674BC9" w:rsidRPr="00674BC9" w:rsidRDefault="00674BC9" w:rsidP="00674BC9">
      <w:pPr>
        <w:numPr>
          <w:ilvl w:val="0"/>
          <w:numId w:val="1"/>
        </w:numPr>
        <w:tabs>
          <w:tab w:val="clear" w:pos="360"/>
          <w:tab w:val="num" w:pos="567"/>
        </w:tabs>
        <w:ind w:left="567" w:hanging="567"/>
        <w:jc w:val="both"/>
        <w:rPr>
          <w:rFonts w:ascii="Tahoma" w:hAnsi="Tahoma" w:cs="Tahoma"/>
          <w:sz w:val="20"/>
          <w:szCs w:val="20"/>
        </w:rPr>
      </w:pPr>
      <w:r w:rsidRPr="00674BC9">
        <w:rPr>
          <w:rFonts w:ascii="Tahoma" w:hAnsi="Tahoma" w:cs="Tahoma"/>
          <w:sz w:val="20"/>
          <w:szCs w:val="20"/>
          <w:lang w:val="es-ES_tradnl"/>
        </w:rPr>
        <w:t>En ese orden de ideas, corresponde determinar de manera previa si la Entidad ha seguido el debido procedimiento para la suscripción del contrato.</w:t>
      </w:r>
      <w:r w:rsidRPr="00674BC9">
        <w:rPr>
          <w:rFonts w:ascii="Tahoma" w:hAnsi="Tahoma" w:cs="Tahoma"/>
          <w:sz w:val="20"/>
          <w:szCs w:val="20"/>
        </w:rPr>
        <w:t xml:space="preserve"> </w:t>
      </w:r>
    </w:p>
    <w:p w:rsidR="00674BC9" w:rsidRPr="00674BC9" w:rsidRDefault="00674BC9" w:rsidP="00674BC9">
      <w:pPr>
        <w:pStyle w:val="Prrafodelista"/>
        <w:jc w:val="both"/>
        <w:rPr>
          <w:rFonts w:ascii="Tahoma" w:hAnsi="Tahoma" w:cs="Tahoma"/>
          <w:sz w:val="20"/>
          <w:szCs w:val="20"/>
        </w:rPr>
      </w:pPr>
    </w:p>
    <w:p w:rsidR="00674BC9" w:rsidRPr="00674BC9" w:rsidRDefault="00674BC9" w:rsidP="00674BC9">
      <w:pPr>
        <w:numPr>
          <w:ilvl w:val="0"/>
          <w:numId w:val="1"/>
        </w:numPr>
        <w:tabs>
          <w:tab w:val="clear" w:pos="360"/>
          <w:tab w:val="num" w:pos="567"/>
        </w:tabs>
        <w:ind w:left="567" w:hanging="567"/>
        <w:jc w:val="both"/>
        <w:rPr>
          <w:rFonts w:ascii="Tahoma" w:hAnsi="Tahoma" w:cs="Tahoma"/>
          <w:sz w:val="20"/>
          <w:szCs w:val="20"/>
        </w:rPr>
      </w:pPr>
      <w:r w:rsidRPr="00674BC9">
        <w:rPr>
          <w:rFonts w:ascii="Tahoma" w:hAnsi="Tahoma" w:cs="Tahoma"/>
          <w:sz w:val="20"/>
          <w:szCs w:val="20"/>
        </w:rPr>
        <w:t xml:space="preserve">Fluye de la revisión de los antecedentes administrativos que la Buena Pro de la Adjudicación Directa Selectiva № 004/2010-SBS quedó consentida el </w:t>
      </w:r>
      <w:r w:rsidRPr="00674BC9">
        <w:rPr>
          <w:rFonts w:ascii="Tahoma" w:hAnsi="Tahoma" w:cs="Tahoma"/>
          <w:b/>
          <w:sz w:val="20"/>
          <w:szCs w:val="20"/>
        </w:rPr>
        <w:t>13 de octubre de 2010</w:t>
      </w:r>
      <w:r w:rsidRPr="00674BC9">
        <w:rPr>
          <w:rFonts w:ascii="Tahoma" w:hAnsi="Tahoma" w:cs="Tahoma"/>
          <w:sz w:val="20"/>
          <w:szCs w:val="20"/>
        </w:rPr>
        <w:t xml:space="preserve"> (a los cinco días hábiles de la notificación del otorgamiento de la Buena Pro a través de su publicación en el SEACE), de conformidad con el artículo 77 del Reglamento</w:t>
      </w:r>
      <w:r w:rsidRPr="00674BC9">
        <w:rPr>
          <w:rStyle w:val="Refdenotaalpie"/>
          <w:rFonts w:ascii="Tahoma" w:hAnsi="Tahoma" w:cs="Tahoma"/>
          <w:sz w:val="20"/>
          <w:szCs w:val="20"/>
        </w:rPr>
        <w:footnoteReference w:id="3"/>
      </w:r>
      <w:r w:rsidRPr="00674BC9">
        <w:rPr>
          <w:rFonts w:ascii="Tahoma" w:hAnsi="Tahoma" w:cs="Tahoma"/>
          <w:sz w:val="20"/>
          <w:szCs w:val="20"/>
        </w:rPr>
        <w:t xml:space="preserve">, por lo que la Entidad tenía hasta el </w:t>
      </w:r>
      <w:r w:rsidRPr="00674BC9">
        <w:rPr>
          <w:rFonts w:ascii="Tahoma" w:hAnsi="Tahoma" w:cs="Tahoma"/>
          <w:b/>
          <w:sz w:val="20"/>
          <w:szCs w:val="20"/>
        </w:rPr>
        <w:t>15 de octubre de 2010</w:t>
      </w:r>
      <w:r w:rsidRPr="00674BC9">
        <w:rPr>
          <w:rFonts w:ascii="Tahoma" w:hAnsi="Tahoma" w:cs="Tahoma"/>
          <w:sz w:val="20"/>
          <w:szCs w:val="20"/>
        </w:rPr>
        <w:t xml:space="preserve"> (esto es, dentro de los dos días hábiles siguientes al consentimiento) para proceder a citar al adjudicatario. </w:t>
      </w:r>
    </w:p>
    <w:p w:rsidR="00674BC9" w:rsidRPr="00674BC9" w:rsidRDefault="00674BC9" w:rsidP="00674BC9">
      <w:pPr>
        <w:pStyle w:val="Prrafodelista"/>
        <w:jc w:val="both"/>
        <w:rPr>
          <w:rFonts w:ascii="Tahoma" w:hAnsi="Tahoma" w:cs="Tahoma"/>
          <w:sz w:val="20"/>
          <w:szCs w:val="20"/>
        </w:rPr>
      </w:pPr>
    </w:p>
    <w:p w:rsidR="00674BC9" w:rsidRDefault="00674BC9" w:rsidP="00674BC9">
      <w:pPr>
        <w:numPr>
          <w:ilvl w:val="0"/>
          <w:numId w:val="1"/>
        </w:numPr>
        <w:tabs>
          <w:tab w:val="clear" w:pos="360"/>
          <w:tab w:val="num" w:pos="567"/>
        </w:tabs>
        <w:ind w:left="567" w:hanging="567"/>
        <w:jc w:val="both"/>
        <w:rPr>
          <w:rFonts w:ascii="Tahoma" w:hAnsi="Tahoma" w:cs="Tahoma"/>
          <w:sz w:val="20"/>
          <w:szCs w:val="20"/>
        </w:rPr>
      </w:pPr>
      <w:r w:rsidRPr="00674BC9">
        <w:rPr>
          <w:rFonts w:ascii="Tahoma" w:hAnsi="Tahoma" w:cs="Tahoma"/>
          <w:sz w:val="20"/>
          <w:szCs w:val="20"/>
        </w:rPr>
        <w:t xml:space="preserve">Al respecto, fluye de la documentación obrante que, a través de la Carta № 641-2010-DL notificada vía correo electrónico el </w:t>
      </w:r>
      <w:r w:rsidRPr="00674BC9">
        <w:rPr>
          <w:rFonts w:ascii="Tahoma" w:hAnsi="Tahoma" w:cs="Tahoma"/>
          <w:b/>
          <w:sz w:val="20"/>
          <w:szCs w:val="20"/>
        </w:rPr>
        <w:t>18 de octubre de 2010</w:t>
      </w:r>
      <w:r w:rsidRPr="00674BC9">
        <w:rPr>
          <w:rFonts w:ascii="Tahoma" w:hAnsi="Tahoma" w:cs="Tahoma"/>
          <w:sz w:val="20"/>
          <w:szCs w:val="20"/>
        </w:rPr>
        <w:t>, la Entidad requirió al Postor a fin que cumpliera con apersonarse para la suscripción del contrato dentro de un plazo máximo de diez (10) días hábiles, plazo que a tenor de lo señalado en el documento vencía el 02 de noviembre de 2010, debiendo además remitir los documentos pertinentes para tal efecto.</w:t>
      </w:r>
    </w:p>
    <w:p w:rsidR="00674BC9" w:rsidRDefault="00674BC9" w:rsidP="00674BC9">
      <w:pPr>
        <w:pStyle w:val="Prrafodelista"/>
        <w:rPr>
          <w:rFonts w:ascii="Tahoma" w:hAnsi="Tahoma" w:cs="Tahoma"/>
          <w:sz w:val="20"/>
          <w:szCs w:val="20"/>
        </w:rPr>
      </w:pPr>
    </w:p>
    <w:p w:rsidR="00674BC9" w:rsidRDefault="00674BC9" w:rsidP="00674BC9">
      <w:pPr>
        <w:numPr>
          <w:ilvl w:val="0"/>
          <w:numId w:val="1"/>
        </w:numPr>
        <w:tabs>
          <w:tab w:val="clear" w:pos="360"/>
          <w:tab w:val="num" w:pos="567"/>
        </w:tabs>
        <w:ind w:left="567" w:hanging="567"/>
        <w:jc w:val="both"/>
        <w:rPr>
          <w:rFonts w:ascii="Tahoma" w:hAnsi="Tahoma" w:cs="Tahoma"/>
          <w:sz w:val="20"/>
          <w:szCs w:val="20"/>
        </w:rPr>
      </w:pPr>
      <w:r w:rsidRPr="00674BC9">
        <w:rPr>
          <w:rFonts w:ascii="Tahoma" w:hAnsi="Tahoma" w:cs="Tahoma"/>
          <w:sz w:val="20"/>
          <w:szCs w:val="20"/>
        </w:rPr>
        <w:t>Como puede apreciarse, la Entidad en el presente caso no ha cumplido el procedimiento descrito en los párrafos precedentes, por cuanto citó al Postor extemporáneamente, puesto que como ya se dijo la Entidad debía remitir la comunicación de citación hasta el 15 de octubre de 2010, de acuerdo a lo establecido en el artículo 148 del Reglamento.</w:t>
      </w:r>
    </w:p>
    <w:p w:rsidR="00674BC9" w:rsidRDefault="00674BC9" w:rsidP="00674BC9">
      <w:pPr>
        <w:pStyle w:val="Prrafodelista"/>
        <w:rPr>
          <w:rFonts w:ascii="Tahoma" w:hAnsi="Tahoma" w:cs="Tahoma"/>
          <w:sz w:val="20"/>
          <w:szCs w:val="20"/>
        </w:rPr>
      </w:pPr>
    </w:p>
    <w:p w:rsidR="00674BC9" w:rsidRPr="00674BC9" w:rsidRDefault="00674BC9" w:rsidP="00674BC9">
      <w:pPr>
        <w:numPr>
          <w:ilvl w:val="0"/>
          <w:numId w:val="1"/>
        </w:numPr>
        <w:tabs>
          <w:tab w:val="clear" w:pos="360"/>
          <w:tab w:val="num" w:pos="567"/>
        </w:tabs>
        <w:ind w:left="567" w:hanging="567"/>
        <w:jc w:val="both"/>
        <w:rPr>
          <w:rFonts w:ascii="Tahoma" w:hAnsi="Tahoma" w:cs="Tahoma"/>
          <w:sz w:val="20"/>
          <w:szCs w:val="20"/>
        </w:rPr>
      </w:pPr>
      <w:r w:rsidRPr="00674BC9">
        <w:rPr>
          <w:rFonts w:ascii="Tahoma" w:hAnsi="Tahoma" w:cs="Tahoma"/>
          <w:sz w:val="20"/>
          <w:szCs w:val="20"/>
        </w:rPr>
        <w:t>No puede, por tanto, atribuírsele responsabilidad al Postor por la falta de suscripción del contrato, por cuanto la Entidad no cumplió el procedimiento descrito en el artículo 148 del Reglamento, lo cual guarda concordancia con lo dispuesto en el Acuerdo de Sala Plena № 007/009 del 25 de junio de 2009, adoptado por mayoría, el cual, como se ha señalado, es de observancia obligatoria.</w:t>
      </w:r>
    </w:p>
    <w:p w:rsidR="00674BC9" w:rsidRPr="00674BC9" w:rsidRDefault="00674BC9" w:rsidP="00674BC9">
      <w:pPr>
        <w:pStyle w:val="Prrafodelista"/>
        <w:rPr>
          <w:rFonts w:ascii="Tahoma" w:hAnsi="Tahoma" w:cs="Tahoma"/>
          <w:sz w:val="20"/>
          <w:szCs w:val="20"/>
        </w:rPr>
      </w:pPr>
    </w:p>
    <w:p w:rsidR="00674BC9" w:rsidRPr="00674BC9" w:rsidRDefault="00674BC9" w:rsidP="00674BC9">
      <w:pPr>
        <w:numPr>
          <w:ilvl w:val="0"/>
          <w:numId w:val="1"/>
        </w:numPr>
        <w:tabs>
          <w:tab w:val="clear" w:pos="360"/>
          <w:tab w:val="num" w:pos="567"/>
        </w:tabs>
        <w:ind w:left="567" w:hanging="567"/>
        <w:jc w:val="both"/>
        <w:rPr>
          <w:rFonts w:ascii="Tahoma" w:hAnsi="Tahoma" w:cs="Tahoma"/>
          <w:sz w:val="20"/>
          <w:szCs w:val="20"/>
        </w:rPr>
      </w:pPr>
      <w:r w:rsidRPr="00674BC9">
        <w:rPr>
          <w:rFonts w:ascii="Tahoma" w:hAnsi="Tahoma" w:cs="Tahoma"/>
          <w:sz w:val="20"/>
          <w:szCs w:val="20"/>
        </w:rPr>
        <w:t>En relación con lo anterior, es relevante señalar que las disposiciones contenidas en la Ley de Contrataciones del Estado y su Reglamento son de orden público y, por tanto, de obligatorio cumplimiento por las partes involucradas en los procesos de selección, ya que determinan las normas básicas que deben observar tanto los postores como las Entidades en las contrataciones y que estas últimas tienen a su cargo.</w:t>
      </w:r>
    </w:p>
    <w:p w:rsidR="00674BC9" w:rsidRPr="00674BC9" w:rsidRDefault="00674BC9" w:rsidP="00674BC9">
      <w:pPr>
        <w:pStyle w:val="Prrafodelista"/>
        <w:rPr>
          <w:rFonts w:ascii="Tahoma" w:hAnsi="Tahoma" w:cs="Tahoma"/>
          <w:sz w:val="20"/>
          <w:szCs w:val="20"/>
        </w:rPr>
      </w:pPr>
    </w:p>
    <w:p w:rsidR="00674BC9" w:rsidRPr="00674BC9" w:rsidRDefault="00674BC9" w:rsidP="00674BC9">
      <w:pPr>
        <w:numPr>
          <w:ilvl w:val="0"/>
          <w:numId w:val="1"/>
        </w:numPr>
        <w:tabs>
          <w:tab w:val="clear" w:pos="360"/>
          <w:tab w:val="num" w:pos="567"/>
        </w:tabs>
        <w:ind w:left="567" w:hanging="567"/>
        <w:jc w:val="both"/>
        <w:rPr>
          <w:rFonts w:ascii="Tahoma" w:hAnsi="Tahoma" w:cs="Tahoma"/>
          <w:sz w:val="20"/>
          <w:szCs w:val="20"/>
        </w:rPr>
      </w:pPr>
      <w:r w:rsidRPr="00674BC9">
        <w:rPr>
          <w:rFonts w:ascii="Tahoma" w:hAnsi="Tahoma" w:cs="Tahoma"/>
          <w:sz w:val="20"/>
          <w:szCs w:val="20"/>
        </w:rPr>
        <w:t xml:space="preserve">Aunado a ello, el numeral 4 del artículo 230 de la Ley № 27444 consagra el </w:t>
      </w:r>
      <w:r w:rsidRPr="00674BC9">
        <w:rPr>
          <w:rFonts w:ascii="Tahoma" w:hAnsi="Tahoma" w:cs="Tahoma"/>
          <w:i/>
          <w:sz w:val="20"/>
          <w:szCs w:val="20"/>
        </w:rPr>
        <w:t>Principio de Tipicidad</w:t>
      </w:r>
      <w:r w:rsidRPr="00674BC9">
        <w:rPr>
          <w:rFonts w:ascii="Tahoma" w:hAnsi="Tahoma" w:cs="Tahoma"/>
          <w:sz w:val="20"/>
          <w:szCs w:val="20"/>
        </w:rPr>
        <w:t xml:space="preserve">, el cual prevé que las conductas expresamente descritas como sancionables no pueden admitir interpretación extensiva o análoga. Por su parte el numeral 2) del citado artículo contempla el </w:t>
      </w:r>
      <w:r w:rsidRPr="00674BC9">
        <w:rPr>
          <w:rFonts w:ascii="Tahoma" w:hAnsi="Tahoma" w:cs="Tahoma"/>
          <w:i/>
          <w:sz w:val="20"/>
          <w:szCs w:val="20"/>
        </w:rPr>
        <w:t>Principio del Debido Procedimiento</w:t>
      </w:r>
      <w:r w:rsidRPr="00674BC9">
        <w:rPr>
          <w:rFonts w:ascii="Tahoma" w:hAnsi="Tahoma" w:cs="Tahoma"/>
          <w:sz w:val="20"/>
          <w:szCs w:val="20"/>
        </w:rPr>
        <w:t xml:space="preserve"> mediante el cual las Entidades aplicarán sanciones sujetando su actuación al procedimiento establecido, respetándolas garantías inherentes al debido procedimiento. </w:t>
      </w:r>
    </w:p>
    <w:p w:rsidR="00674BC9" w:rsidRPr="00674BC9" w:rsidRDefault="00674BC9" w:rsidP="00674BC9">
      <w:pPr>
        <w:pStyle w:val="Prrafodelista"/>
        <w:rPr>
          <w:rFonts w:ascii="Tahoma" w:hAnsi="Tahoma" w:cs="Tahoma"/>
          <w:sz w:val="20"/>
          <w:szCs w:val="20"/>
        </w:rPr>
      </w:pPr>
    </w:p>
    <w:p w:rsidR="00674BC9" w:rsidRPr="00674BC9" w:rsidRDefault="00674BC9" w:rsidP="00674BC9">
      <w:pPr>
        <w:numPr>
          <w:ilvl w:val="0"/>
          <w:numId w:val="1"/>
        </w:numPr>
        <w:tabs>
          <w:tab w:val="clear" w:pos="360"/>
          <w:tab w:val="num" w:pos="567"/>
        </w:tabs>
        <w:ind w:left="567" w:hanging="567"/>
        <w:jc w:val="both"/>
        <w:rPr>
          <w:rFonts w:ascii="Tahoma" w:hAnsi="Tahoma" w:cs="Tahoma"/>
          <w:sz w:val="20"/>
          <w:szCs w:val="20"/>
        </w:rPr>
      </w:pPr>
      <w:r w:rsidRPr="00674BC9">
        <w:rPr>
          <w:rFonts w:ascii="Tahoma" w:hAnsi="Tahoma" w:cs="Tahoma"/>
          <w:sz w:val="20"/>
          <w:szCs w:val="20"/>
        </w:rPr>
        <w:t xml:space="preserve">En razón a lo expuesto, y no habiendo cumplido la Entidad con las formalidades previstas por la normativa de contrataciones del Estado para citar al Postor para la suscripción del contrato, este Colegiado considera que no se ha configurado el supuesto de hecho de la infracción imputada, razón por la cual no corresponde imponer sanción administrativa contra el Postor. </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Textoindependiente"/>
        <w:numPr>
          <w:ilvl w:val="4"/>
          <w:numId w:val="6"/>
        </w:numPr>
        <w:tabs>
          <w:tab w:val="clear" w:pos="360"/>
          <w:tab w:val="left" w:pos="-2340"/>
          <w:tab w:val="num" w:pos="0"/>
          <w:tab w:val="left" w:pos="567"/>
        </w:tabs>
        <w:ind w:left="567" w:hanging="567"/>
        <w:rPr>
          <w:rFonts w:cs="Tahoma"/>
          <w:sz w:val="20"/>
        </w:rPr>
      </w:pPr>
      <w:r w:rsidRPr="00674BC9">
        <w:rPr>
          <w:rFonts w:cs="Tahoma"/>
          <w:b/>
          <w:bCs/>
          <w:shadow/>
          <w:sz w:val="20"/>
        </w:rPr>
        <w:t xml:space="preserve">(ii) </w:t>
      </w:r>
      <w:r>
        <w:rPr>
          <w:rFonts w:cs="Tahoma"/>
          <w:b/>
          <w:bCs/>
          <w:shadow/>
          <w:sz w:val="20"/>
        </w:rPr>
        <w:t xml:space="preserve">  </w:t>
      </w:r>
      <w:r w:rsidRPr="00674BC9">
        <w:rPr>
          <w:rFonts w:cs="Tahoma"/>
          <w:b/>
          <w:sz w:val="20"/>
          <w:u w:val="single"/>
        </w:rPr>
        <w:t xml:space="preserve">Sobre la supuesta responsabilidad por la presentación de documentos falsos y/o inexactos en </w:t>
      </w:r>
      <w:r w:rsidRPr="00674BC9">
        <w:rPr>
          <w:rFonts w:cs="Tahoma"/>
          <w:b/>
          <w:bCs/>
          <w:shadow/>
          <w:sz w:val="20"/>
          <w:u w:val="single"/>
        </w:rPr>
        <w:t>Adjudicación Directa Selectiva № 004/2010-SBS, primera convocatoria</w:t>
      </w:r>
      <w:r w:rsidRPr="00674BC9">
        <w:rPr>
          <w:rFonts w:cs="Tahoma"/>
          <w:b/>
          <w:sz w:val="20"/>
          <w:u w:val="single"/>
        </w:rPr>
        <w:t>:</w:t>
      </w:r>
      <w:r w:rsidRPr="00674BC9">
        <w:rPr>
          <w:rFonts w:cs="Tahoma"/>
          <w:b/>
          <w:sz w:val="20"/>
        </w:rPr>
        <w:t xml:space="preserve"> </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lang w:val="es-ES_tradnl"/>
        </w:rPr>
      </w:pPr>
      <w:r w:rsidRPr="00674BC9">
        <w:rPr>
          <w:rFonts w:ascii="Tahoma" w:hAnsi="Tahoma" w:cs="Tahoma"/>
          <w:sz w:val="20"/>
          <w:szCs w:val="20"/>
        </w:rPr>
        <w:t xml:space="preserve">Al respecto, </w:t>
      </w:r>
      <w:r w:rsidRPr="00674BC9">
        <w:rPr>
          <w:rFonts w:ascii="Tahoma" w:hAnsi="Tahoma" w:cs="Tahoma"/>
          <w:sz w:val="20"/>
          <w:szCs w:val="20"/>
          <w:lang w:val="es-MX" w:eastAsia="ja-JP"/>
        </w:rPr>
        <w:t>en el literal i) del numeral 51.1 del artículo 51 de la Ley en concordancia con el literal i) del numeral 1 del artículo 237 del Reglamento</w:t>
      </w:r>
      <w:r w:rsidRPr="00674BC9">
        <w:rPr>
          <w:rStyle w:val="Refdenotaalpie"/>
          <w:rFonts w:ascii="Tahoma" w:hAnsi="Tahoma" w:cs="Tahoma"/>
          <w:sz w:val="20"/>
          <w:szCs w:val="20"/>
        </w:rPr>
        <w:footnoteReference w:id="4"/>
      </w:r>
      <w:r w:rsidRPr="00674BC9">
        <w:rPr>
          <w:rFonts w:ascii="Tahoma" w:hAnsi="Tahoma" w:cs="Tahoma"/>
          <w:sz w:val="20"/>
          <w:szCs w:val="20"/>
          <w:lang w:val="es-MX" w:eastAsia="ja-JP"/>
        </w:rPr>
        <w:t>, norma vigente al momento de suscitado el supuesto de hecho imputado</w:t>
      </w:r>
      <w:r w:rsidRPr="00674BC9">
        <w:rPr>
          <w:rFonts w:ascii="Tahoma" w:hAnsi="Tahoma" w:cs="Tahoma"/>
          <w:sz w:val="20"/>
          <w:szCs w:val="20"/>
        </w:rPr>
        <w:t>, establece que serán sancionados aquellos postores que presenten documentos falsos o información inexacta a las Entidades, al Tribunal o al OSCE.</w:t>
      </w:r>
    </w:p>
    <w:p w:rsidR="00674BC9" w:rsidRPr="00674BC9" w:rsidRDefault="00674BC9" w:rsidP="00674BC9">
      <w:pPr>
        <w:pStyle w:val="Prrafodelista"/>
        <w:ind w:left="567"/>
        <w:jc w:val="both"/>
        <w:rPr>
          <w:rFonts w:ascii="Tahoma" w:hAnsi="Tahoma" w:cs="Tahoma"/>
          <w:sz w:val="20"/>
          <w:szCs w:val="20"/>
          <w:lang w:val="es-ES_tradnl"/>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lang w:val="es-ES_tradnl"/>
        </w:rPr>
      </w:pPr>
      <w:r w:rsidRPr="00674BC9">
        <w:rPr>
          <w:rFonts w:ascii="Tahoma" w:hAnsi="Tahoma" w:cs="Tahoma"/>
          <w:sz w:val="20"/>
          <w:szCs w:val="20"/>
        </w:rPr>
        <w:t xml:space="preserve">En primer lugar, debe tenerse presente que, la infracción imputada al Postor se configura con la sola presentación de documentos falsos y/o inexactos ante la Entidad o al OSCE, es decir con la sola afectación del </w:t>
      </w:r>
      <w:r w:rsidRPr="00674BC9">
        <w:rPr>
          <w:rFonts w:ascii="Tahoma" w:hAnsi="Tahoma" w:cs="Tahoma"/>
          <w:i/>
          <w:sz w:val="20"/>
          <w:szCs w:val="20"/>
        </w:rPr>
        <w:t>principio de presunción de veracidad</w:t>
      </w:r>
      <w:r w:rsidRPr="00674BC9">
        <w:rPr>
          <w:rStyle w:val="Refdenotaalpie"/>
          <w:rFonts w:ascii="Tahoma" w:hAnsi="Tahoma" w:cs="Tahoma"/>
          <w:sz w:val="20"/>
          <w:szCs w:val="20"/>
        </w:rPr>
        <w:footnoteReference w:id="5"/>
      </w:r>
      <w:r w:rsidRPr="00674BC9">
        <w:rPr>
          <w:rFonts w:ascii="Tahoma" w:hAnsi="Tahoma" w:cs="Tahoma"/>
          <w:sz w:val="20"/>
          <w:szCs w:val="20"/>
        </w:rPr>
        <w:t xml:space="preserve"> consagrado en el </w:t>
      </w:r>
      <w:r w:rsidRPr="00674BC9">
        <w:rPr>
          <w:rFonts w:ascii="Tahoma" w:hAnsi="Tahoma" w:cs="Tahoma"/>
          <w:sz w:val="20"/>
          <w:szCs w:val="20"/>
        </w:rPr>
        <w:lastRenderedPageBreak/>
        <w:t>acápite 1.7 del Artículo IV del Título Preliminar de la Ley № 27444, del Procedimiento Administrativo General, sin que la norma exija otros factores adicionales, por cuanto la Administración Pública presume que todos los documentos y declaraciones formuladas por los administrados responden a la verdad de los hechos que ellos afirman.</w:t>
      </w:r>
    </w:p>
    <w:p w:rsidR="00674BC9" w:rsidRPr="00674BC9" w:rsidRDefault="00674BC9" w:rsidP="00674BC9">
      <w:pPr>
        <w:pStyle w:val="Prrafodelista"/>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lang w:val="es-ES_tradnl"/>
        </w:rPr>
      </w:pPr>
      <w:r w:rsidRPr="00674BC9">
        <w:rPr>
          <w:rFonts w:ascii="Tahoma" w:hAnsi="Tahoma" w:cs="Tahoma"/>
          <w:sz w:val="20"/>
          <w:szCs w:val="20"/>
        </w:rPr>
        <w:t xml:space="preserve">Por otro lado, el literal c) del artículo 42 del Reglamento establece que los postores y/o contratistas </w:t>
      </w:r>
      <w:r w:rsidRPr="00674BC9">
        <w:rPr>
          <w:rFonts w:ascii="Tahoma" w:hAnsi="Tahoma" w:cs="Tahoma"/>
          <w:b/>
          <w:sz w:val="20"/>
          <w:szCs w:val="20"/>
        </w:rPr>
        <w:t>son responsables de la veracidad de los documentos e información que presentan para efectos de un proceso de selección determinado</w:t>
      </w:r>
      <w:r w:rsidRPr="00674BC9">
        <w:rPr>
          <w:rFonts w:ascii="Tahoma" w:hAnsi="Tahoma" w:cs="Tahoma"/>
          <w:sz w:val="20"/>
          <w:szCs w:val="20"/>
        </w:rPr>
        <w:t>.</w:t>
      </w:r>
    </w:p>
    <w:p w:rsidR="00674BC9" w:rsidRPr="00674BC9" w:rsidRDefault="00674BC9" w:rsidP="00674BC9">
      <w:pPr>
        <w:pStyle w:val="Prrafodelista"/>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lang w:val="es-ES_tradnl"/>
        </w:rPr>
      </w:pPr>
      <w:r w:rsidRPr="00674BC9">
        <w:rPr>
          <w:rFonts w:ascii="Tahoma" w:hAnsi="Tahoma" w:cs="Tahoma"/>
          <w:sz w:val="20"/>
          <w:szCs w:val="20"/>
        </w:rPr>
        <w:t xml:space="preserve">Asimismo, </w:t>
      </w:r>
      <w:r w:rsidRPr="00674BC9">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674BC9">
        <w:rPr>
          <w:rFonts w:ascii="Tahoma" w:hAnsi="Tahoma" w:cs="Tahoma"/>
          <w:b/>
          <w:sz w:val="20"/>
          <w:szCs w:val="20"/>
          <w:lang w:val="es-MX"/>
        </w:rPr>
        <w:t>se presumen verificados por quien hace uso de ellos, así como de contenido veraz para fines del procedimiento administrativo</w:t>
      </w:r>
      <w:r w:rsidRPr="00674BC9">
        <w:rPr>
          <w:rFonts w:ascii="Tahoma" w:hAnsi="Tahoma" w:cs="Tahoma"/>
          <w:sz w:val="20"/>
          <w:szCs w:val="20"/>
          <w:lang w:val="es-MX"/>
        </w:rPr>
        <w:t xml:space="preserve">. Sin embargo, esta presunción es de índole </w:t>
      </w:r>
      <w:r w:rsidRPr="00674BC9">
        <w:rPr>
          <w:rFonts w:ascii="Tahoma" w:hAnsi="Tahoma" w:cs="Tahoma"/>
          <w:i/>
          <w:sz w:val="20"/>
          <w:szCs w:val="20"/>
          <w:lang w:val="es-MX"/>
        </w:rPr>
        <w:t>juris tantum</w:t>
      </w:r>
      <w:r w:rsidRPr="00674BC9">
        <w:rPr>
          <w:rFonts w:ascii="Tahoma" w:hAnsi="Tahoma" w:cs="Tahoma"/>
          <w:sz w:val="20"/>
          <w:szCs w:val="20"/>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674BC9" w:rsidRPr="00674BC9" w:rsidRDefault="00674BC9" w:rsidP="00674BC9">
      <w:pPr>
        <w:pStyle w:val="Prrafodelista"/>
        <w:jc w:val="both"/>
        <w:rPr>
          <w:rFonts w:ascii="Tahoma" w:hAnsi="Tahoma" w:cs="Tahoma"/>
          <w:sz w:val="20"/>
          <w:szCs w:val="20"/>
          <w:lang w:val="es-MX"/>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lang w:val="es-ES_tradnl"/>
        </w:rPr>
      </w:pPr>
      <w:r w:rsidRPr="00674BC9">
        <w:rPr>
          <w:rFonts w:ascii="Tahoma" w:hAnsi="Tahoma" w:cs="Tahoma"/>
          <w:sz w:val="20"/>
          <w:szCs w:val="20"/>
          <w:lang w:val="es-ES_tradnl"/>
        </w:rPr>
        <w:t>Ahora bien, para la configuración del supuesto de presentación de documentación falsa, se requiere previamente acreditar su falsedad, esto es que el documento o los documentos cuestionados no hayan sido expedidos por el órgano o agente emisor o que, siendo válidamente expedidos, hayan sido adulterados en su contenido.</w:t>
      </w:r>
    </w:p>
    <w:p w:rsidR="00674BC9" w:rsidRPr="00674BC9" w:rsidRDefault="00674BC9" w:rsidP="00674BC9">
      <w:pPr>
        <w:pStyle w:val="Prrafodelista"/>
        <w:jc w:val="both"/>
        <w:rPr>
          <w:rFonts w:ascii="Tahoma" w:hAnsi="Tahoma" w:cs="Tahoma"/>
          <w:sz w:val="20"/>
          <w:szCs w:val="20"/>
          <w:lang w:val="es-ES_tradnl"/>
        </w:rPr>
      </w:pPr>
    </w:p>
    <w:p w:rsidR="00674BC9" w:rsidRPr="00674BC9" w:rsidRDefault="00674BC9" w:rsidP="00674BC9">
      <w:pPr>
        <w:pStyle w:val="Prrafodelista"/>
        <w:ind w:left="567"/>
        <w:jc w:val="both"/>
        <w:rPr>
          <w:rFonts w:ascii="Tahoma" w:hAnsi="Tahoma" w:cs="Tahoma"/>
          <w:sz w:val="20"/>
          <w:szCs w:val="20"/>
          <w:lang w:val="es-ES_tradnl"/>
        </w:rPr>
      </w:pPr>
      <w:r w:rsidRPr="00674BC9">
        <w:rPr>
          <w:rFonts w:ascii="Tahoma" w:hAnsi="Tahoma" w:cs="Tahoma"/>
          <w:sz w:val="20"/>
          <w:szCs w:val="20"/>
          <w:lang w:val="es-ES_tradnl"/>
        </w:rPr>
        <w:t>Por otro lado, la infracción referida a información inexacta se configura ante la presentación de documentos no concordantes con la realidad, que constituye una forma de falseamiento de la misma, a través del quebrantamiento de los principios de moralidad y de presunción de veracidad.</w:t>
      </w:r>
    </w:p>
    <w:p w:rsidR="00674BC9" w:rsidRPr="00674BC9" w:rsidRDefault="00674BC9" w:rsidP="00674BC9">
      <w:pPr>
        <w:pStyle w:val="Prrafodelista"/>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lang w:val="es-MX"/>
        </w:rPr>
      </w:pPr>
      <w:r w:rsidRPr="00674BC9">
        <w:rPr>
          <w:rFonts w:ascii="Tahoma" w:hAnsi="Tahoma" w:cs="Tahoma"/>
          <w:sz w:val="20"/>
          <w:szCs w:val="20"/>
        </w:rPr>
        <w:t>En el caso materia de análisis, la imputación efectuada contra el Postor está referida a que éste habría presentado, como parte de su propuesta técnica, la Declaración Jurada de fecha 30 de septiembre de 2010, documento supuestamente inexacto.</w:t>
      </w:r>
    </w:p>
    <w:p w:rsidR="00674BC9" w:rsidRPr="00674BC9" w:rsidRDefault="00674BC9" w:rsidP="00674BC9">
      <w:pPr>
        <w:pStyle w:val="Prrafodelista"/>
        <w:ind w:left="567"/>
        <w:jc w:val="both"/>
        <w:rPr>
          <w:rFonts w:ascii="Tahoma" w:hAnsi="Tahoma" w:cs="Tahoma"/>
          <w:sz w:val="20"/>
          <w:szCs w:val="20"/>
          <w:lang w:val="es-MX"/>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Sobre la base de lo expuesto, en virtud al derecho de defensa que ampara a los administrados, el Postor presentó sus descargos manifestando que los señores Julio Joel Caycho Huamancondor y José Erland Caycho Huamancondor, eran accionistas con el 1% del capital social de la empresa SERVICIOS NAVALES E INDUSTRIALES SAN PEDRO S.A., nombrados Directores hasta el 02 de enero de 2009, según las cartas de renuncia irrevocables al mencionado cargo, y las cuales presentaba como medio probatorio en el presente procedimiento administrativo.</w:t>
      </w:r>
    </w:p>
    <w:p w:rsidR="00674BC9" w:rsidRPr="00674BC9" w:rsidRDefault="00674BC9" w:rsidP="00674BC9">
      <w:pPr>
        <w:pStyle w:val="Prrafodelista"/>
        <w:ind w:left="567"/>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 xml:space="preserve">Conforme a lo expuesto, corresponde al Tribunal pronunciarse respecto de la validez del documento cuestionado, a fin de verificar si resulta procedente imponer al Postor la </w:t>
      </w:r>
      <w:r w:rsidRPr="00674BC9">
        <w:rPr>
          <w:rFonts w:ascii="Tahoma" w:hAnsi="Tahoma" w:cs="Tahoma"/>
          <w:sz w:val="20"/>
          <w:szCs w:val="20"/>
        </w:rPr>
        <w:lastRenderedPageBreak/>
        <w:t>sanción administrativa que el Reglamento ha previsto para estos casos. Por tanto, corresponde evaluar si existen elementos objetivos que indiquen que la información contenida en la Declaración Jurada cuestionada sería inexacta.</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En principio, resulta pertinente señalar q</w:t>
      </w:r>
      <w:r w:rsidRPr="00674BC9">
        <w:rPr>
          <w:rFonts w:ascii="Tahoma" w:eastAsia="Calibri" w:hAnsi="Tahoma" w:cs="Tahoma"/>
          <w:sz w:val="20"/>
          <w:szCs w:val="20"/>
          <w:lang w:eastAsia="en-US"/>
        </w:rPr>
        <w:t xml:space="preserve">ue el artículo 42 del Reglamento ha dispuesto que uno de los documentos de presentación obligatoria es la Declaración Jurada mediante la cual el Postor declare, entre otros, que </w:t>
      </w:r>
      <w:r w:rsidRPr="00674BC9">
        <w:rPr>
          <w:rFonts w:ascii="Tahoma" w:eastAsia="Calibri" w:hAnsi="Tahoma" w:cs="Tahoma"/>
          <w:i/>
          <w:sz w:val="20"/>
          <w:szCs w:val="20"/>
          <w:lang w:eastAsia="en-US"/>
        </w:rPr>
        <w:t>“no tiene impedimento para participar en el proceso de selección ni para contratar con el Estado, conforme al artículo 10 de la Ley”</w:t>
      </w:r>
      <w:r w:rsidRPr="00674BC9">
        <w:rPr>
          <w:rFonts w:ascii="Tahoma" w:eastAsia="Calibri" w:hAnsi="Tahoma" w:cs="Tahoma"/>
          <w:i/>
          <w:sz w:val="20"/>
          <w:szCs w:val="20"/>
          <w:vertAlign w:val="superscript"/>
          <w:lang w:eastAsia="en-US"/>
        </w:rPr>
        <w:footnoteReference w:id="6"/>
      </w:r>
      <w:r w:rsidRPr="00674BC9">
        <w:rPr>
          <w:rFonts w:ascii="Tahoma" w:eastAsia="Calibri" w:hAnsi="Tahoma" w:cs="Tahoma"/>
          <w:sz w:val="20"/>
          <w:szCs w:val="20"/>
          <w:lang w:eastAsia="en-US"/>
        </w:rPr>
        <w:t xml:space="preserve">.  Conforme a ello, el Postor adjuntó a su propuesta técnica, la Declaración Jurada </w:t>
      </w:r>
      <w:r w:rsidRPr="00674BC9">
        <w:rPr>
          <w:rFonts w:ascii="Tahoma" w:hAnsi="Tahoma" w:cs="Tahoma"/>
          <w:sz w:val="20"/>
          <w:szCs w:val="20"/>
        </w:rPr>
        <w:t>fecha 30 de septiembre de 2010, en la que manifestó no tener impedimento para participar en el proceso de selección ni para contratar con el Estado de acuerdo con el artículo 10 de la Ley, la misma que se encuentra suscrita por el Postor.</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 xml:space="preserve">Ahora bien, fluye de los antecedentes administrativos, que con ocasión a la denuncia realizada por la Entidad, mediante Oficio № 57812-2010-SBS de fecha 07 de diciembre de 2010, ésta informó que como resultado de la fiscalización realizada posteriormente, se advirtió que los señores Jose Erland Caycho Huamancondor y Julio Joel Caycho Huamancondor, eran Directores de la empresa INGENIERÍA Y PROYECTOS ELECTROMECÁNICOS INTEGRALES S.A.C. (el Postor), así como de la empresa SERVICIOS NAVALES E INDUSTRIALES SAN PEDRO S.A., siendo está última sancionada con catorce (14) meses de inhabilitación temporal en sus derechos para participar en proceso de selección y contratar con el Estado, a tenor de la Resolución № 067-2010-TC-S4. En ese sentido, la Entidad manifestó que el Postor se encontraba incurso en el literal K) del artículo 10 de la Ley, razón por la cual, el Postor habría presentado supuesta documentación inexacta, como parte de su propuesta técnica, consiste en el </w:t>
      </w:r>
      <w:r w:rsidRPr="00674BC9">
        <w:rPr>
          <w:rFonts w:ascii="Tahoma" w:hAnsi="Tahoma" w:cs="Tahoma"/>
          <w:sz w:val="20"/>
          <w:szCs w:val="20"/>
          <w:lang w:eastAsia="en-US"/>
        </w:rPr>
        <w:t>Anexo № 3 - Declaración Jurada del Artículo 42 del Reglamento de la Ley de Contrataciones.</w:t>
      </w:r>
    </w:p>
    <w:p w:rsidR="00674BC9" w:rsidRPr="00674BC9" w:rsidRDefault="00674BC9" w:rsidP="00674BC9">
      <w:pPr>
        <w:pStyle w:val="Prrafodelista"/>
        <w:ind w:left="567"/>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 xml:space="preserve">En el marco de lo expresado en el párrafo precedente, debe tenerse en cuenta que el literal k) del artículo 10 de La Ley, establece que están impedidos para ser postor y/o contratista –cualquiera sea el régimen legal de contratación aplicable– </w:t>
      </w:r>
      <w:r w:rsidRPr="00674BC9">
        <w:rPr>
          <w:rFonts w:ascii="Tahoma" w:hAnsi="Tahoma" w:cs="Tahoma"/>
          <w:b/>
          <w:i/>
          <w:sz w:val="20"/>
          <w:szCs w:val="20"/>
        </w:rPr>
        <w:t>las personas jurídicas cuyos socios, accionistas, participacionistas, titulares, integrantes de los órganos de administración, apoderados o representantes legales que formen o hayan formado parte, en los últimos doce (12) meses de impuesta la sanción,</w:t>
      </w:r>
      <w:r w:rsidRPr="00674BC9">
        <w:rPr>
          <w:rFonts w:ascii="Tahoma" w:hAnsi="Tahoma" w:cs="Tahoma"/>
          <w:i/>
          <w:sz w:val="20"/>
          <w:szCs w:val="20"/>
        </w:rPr>
        <w:t xml:space="preserve"> </w:t>
      </w:r>
      <w:r w:rsidRPr="00674BC9">
        <w:rPr>
          <w:rFonts w:ascii="Tahoma" w:hAnsi="Tahoma" w:cs="Tahoma"/>
          <w:b/>
          <w:i/>
          <w:sz w:val="20"/>
          <w:szCs w:val="20"/>
        </w:rPr>
        <w:t>de personas jurídicas que se encuentren sancionadas administrativamente con inhabilitación temporal o permanente para participar en procesos de selección y para contratar con el Estado;</w:t>
      </w:r>
      <w:r w:rsidRPr="00674BC9">
        <w:rPr>
          <w:rFonts w:ascii="Tahoma" w:hAnsi="Tahoma" w:cs="Tahoma"/>
          <w:i/>
          <w:sz w:val="20"/>
          <w:szCs w:val="20"/>
        </w:rPr>
        <w:t xml:space="preserve"> o que habiendo actuado como personas naturales hayan sido sancionadas por la misma infracción; conforme a los criterios señalados en el presente Decreto Legislativo y su Reglamento. Para el caso de socios, participacionistas, o titulares este impedimento se aplicará siempre y cuando la participación sea superior al cinco por ciento (5%) del capital o patrimonio social y por el tiempo que la sanción se encuentre vigente (el resaltado es nuestro)”.</w:t>
      </w:r>
    </w:p>
    <w:p w:rsidR="00674BC9" w:rsidRPr="00674BC9" w:rsidRDefault="00674BC9" w:rsidP="00674BC9">
      <w:pPr>
        <w:widowControl w:val="0"/>
        <w:tabs>
          <w:tab w:val="left" w:pos="2410"/>
        </w:tabs>
        <w:suppressAutoHyphens/>
        <w:ind w:left="567"/>
        <w:jc w:val="both"/>
        <w:rPr>
          <w:rFonts w:ascii="Tahoma" w:hAnsi="Tahoma" w:cs="Tahoma"/>
          <w:i/>
          <w:sz w:val="20"/>
          <w:szCs w:val="20"/>
        </w:rPr>
      </w:pPr>
    </w:p>
    <w:p w:rsidR="00674BC9" w:rsidRPr="00674BC9" w:rsidRDefault="00674BC9" w:rsidP="00674BC9">
      <w:pPr>
        <w:ind w:left="567"/>
        <w:jc w:val="both"/>
        <w:rPr>
          <w:rFonts w:ascii="Tahoma" w:hAnsi="Tahoma" w:cs="Tahoma"/>
          <w:i/>
          <w:sz w:val="20"/>
          <w:szCs w:val="20"/>
          <w:lang w:val="es-ES_tradnl"/>
        </w:rPr>
      </w:pPr>
      <w:r w:rsidRPr="00674BC9">
        <w:rPr>
          <w:rFonts w:ascii="Tahoma" w:hAnsi="Tahoma" w:cs="Tahoma"/>
          <w:sz w:val="20"/>
          <w:szCs w:val="20"/>
        </w:rPr>
        <w:t xml:space="preserve">Al respecto, debe indicarse que el impedimento del literal k) del artículo 10 de la Ley se encuentra circunscrito a que las personas jurídicas sancionadas con inhabilitación </w:t>
      </w:r>
      <w:r w:rsidRPr="00674BC9">
        <w:rPr>
          <w:rFonts w:ascii="Tahoma" w:hAnsi="Tahoma" w:cs="Tahoma"/>
          <w:sz w:val="20"/>
          <w:szCs w:val="20"/>
        </w:rPr>
        <w:lastRenderedPageBreak/>
        <w:t xml:space="preserve">temporal y, por tanto, impedidas de contratar con el Estado, tuvieran negada la posibilidad de que, obviando la sanción impuesta, creen una nueva persona jurídica, de modo que puedan seguir contratando con el Estado. En efecto, </w:t>
      </w:r>
      <w:r w:rsidRPr="00674BC9">
        <w:rPr>
          <w:rFonts w:ascii="Tahoma" w:hAnsi="Tahoma" w:cs="Tahoma"/>
          <w:i/>
          <w:sz w:val="20"/>
          <w:szCs w:val="20"/>
        </w:rPr>
        <w:t>“</w:t>
      </w:r>
      <w:r w:rsidRPr="00674BC9">
        <w:rPr>
          <w:rFonts w:ascii="Tahoma" w:hAnsi="Tahoma" w:cs="Tahoma"/>
          <w:i/>
          <w:sz w:val="20"/>
          <w:szCs w:val="20"/>
          <w:lang w:val="es-ES_tradnl"/>
        </w:rPr>
        <w:t>con la disposición bajo comentario se busca que los efectos de la sanción impuesta por el Tribunal no sean soslayados o desconocidos, lo cual podría suceder si una empresa sancionada, participa en procesos de selección y/o contrata con el Estado, a través de terceras personas, como empresas en las cuales participa a través de los socios, accionistas, participacionistas o titulares, influenciando en las decisiones y en la gestión de la empresa”</w:t>
      </w:r>
      <w:r w:rsidRPr="00674BC9">
        <w:rPr>
          <w:rStyle w:val="Refdenotaalpie"/>
          <w:rFonts w:ascii="Tahoma" w:hAnsi="Tahoma" w:cs="Tahoma"/>
          <w:i/>
          <w:sz w:val="20"/>
          <w:szCs w:val="20"/>
          <w:lang w:val="es-ES_tradnl"/>
        </w:rPr>
        <w:footnoteReference w:id="7"/>
      </w:r>
      <w:r w:rsidRPr="00674BC9">
        <w:rPr>
          <w:rFonts w:ascii="Tahoma" w:hAnsi="Tahoma" w:cs="Tahoma"/>
          <w:i/>
          <w:sz w:val="20"/>
          <w:szCs w:val="20"/>
          <w:lang w:val="es-ES_tradnl"/>
        </w:rPr>
        <w:t>(Sic)</w:t>
      </w:r>
    </w:p>
    <w:p w:rsidR="00674BC9" w:rsidRPr="00674BC9" w:rsidRDefault="00674BC9" w:rsidP="00674BC9">
      <w:pPr>
        <w:ind w:left="567"/>
        <w:jc w:val="both"/>
        <w:rPr>
          <w:rFonts w:ascii="Tahoma" w:hAnsi="Tahoma" w:cs="Tahoma"/>
          <w:i/>
          <w:sz w:val="20"/>
          <w:szCs w:val="20"/>
          <w:lang w:val="es-ES_tradnl"/>
        </w:rPr>
      </w:pPr>
    </w:p>
    <w:p w:rsidR="00674BC9" w:rsidRPr="00674BC9" w:rsidRDefault="00674BC9" w:rsidP="00674BC9">
      <w:pPr>
        <w:pStyle w:val="Prrafodelista"/>
        <w:widowControl w:val="0"/>
        <w:numPr>
          <w:ilvl w:val="0"/>
          <w:numId w:val="1"/>
        </w:numPr>
        <w:tabs>
          <w:tab w:val="clear" w:pos="360"/>
          <w:tab w:val="left" w:pos="0"/>
          <w:tab w:val="num" w:pos="567"/>
          <w:tab w:val="left" w:pos="4320"/>
        </w:tabs>
        <w:suppressAutoHyphens/>
        <w:ind w:left="567" w:hanging="567"/>
        <w:contextualSpacing/>
        <w:jc w:val="both"/>
        <w:rPr>
          <w:rFonts w:ascii="Tahoma" w:hAnsi="Tahoma" w:cs="Tahoma"/>
          <w:sz w:val="20"/>
          <w:szCs w:val="20"/>
        </w:rPr>
      </w:pPr>
      <w:r w:rsidRPr="00674BC9">
        <w:rPr>
          <w:rFonts w:ascii="Tahoma" w:hAnsi="Tahoma" w:cs="Tahoma"/>
          <w:bCs/>
          <w:sz w:val="20"/>
          <w:szCs w:val="20"/>
        </w:rPr>
        <w:t xml:space="preserve">En ese sentido, obra en el expediente administrativo </w:t>
      </w:r>
      <w:r w:rsidRPr="00674BC9">
        <w:rPr>
          <w:rFonts w:ascii="Tahoma" w:hAnsi="Tahoma" w:cs="Tahoma"/>
          <w:sz w:val="20"/>
          <w:szCs w:val="20"/>
        </w:rPr>
        <w:t>la Partida Registral № 70268997</w:t>
      </w:r>
      <w:r w:rsidRPr="00674BC9">
        <w:rPr>
          <w:rStyle w:val="Refdenotaalpie"/>
          <w:rFonts w:ascii="Tahoma" w:hAnsi="Tahoma" w:cs="Tahoma"/>
          <w:sz w:val="20"/>
          <w:szCs w:val="20"/>
        </w:rPr>
        <w:footnoteReference w:id="8"/>
      </w:r>
      <w:r w:rsidRPr="00674BC9">
        <w:rPr>
          <w:rFonts w:ascii="Tahoma" w:hAnsi="Tahoma" w:cs="Tahoma"/>
          <w:sz w:val="20"/>
          <w:szCs w:val="20"/>
        </w:rPr>
        <w:t xml:space="preserve">, con Asiento A00001 que corre inscrito desde el mes de agosto del 2005, en el cual se inscribió el nombramiento de los miembros del Directorio de la empresa INGENIERÍA Y PROYECTOS ELECTROMECÁNICOS INTEGRALES S.A.C. (el Postor), en el siguiente orden: </w:t>
      </w:r>
      <w:r w:rsidRPr="00674BC9">
        <w:rPr>
          <w:rFonts w:ascii="Tahoma" w:hAnsi="Tahoma" w:cs="Tahoma"/>
          <w:b/>
          <w:sz w:val="20"/>
          <w:szCs w:val="20"/>
        </w:rPr>
        <w:t>(i)</w:t>
      </w:r>
      <w:r w:rsidRPr="00674BC9">
        <w:rPr>
          <w:rFonts w:ascii="Tahoma" w:hAnsi="Tahoma" w:cs="Tahoma"/>
          <w:sz w:val="20"/>
          <w:szCs w:val="20"/>
        </w:rPr>
        <w:t xml:space="preserve"> </w:t>
      </w:r>
      <w:r w:rsidRPr="00674BC9">
        <w:rPr>
          <w:rFonts w:ascii="Tahoma" w:hAnsi="Tahoma" w:cs="Tahoma"/>
          <w:i/>
          <w:sz w:val="20"/>
          <w:szCs w:val="20"/>
        </w:rPr>
        <w:t>José Erland Caycho Huamancondor</w:t>
      </w:r>
      <w:r w:rsidRPr="00674BC9">
        <w:rPr>
          <w:rFonts w:ascii="Tahoma" w:hAnsi="Tahoma" w:cs="Tahoma"/>
          <w:sz w:val="20"/>
          <w:szCs w:val="20"/>
        </w:rPr>
        <w:t xml:space="preserve">, Socio accionista y Presidente del Directorio, identificado con DNI № 10381971; </w:t>
      </w:r>
      <w:r w:rsidRPr="00674BC9">
        <w:rPr>
          <w:rFonts w:ascii="Tahoma" w:hAnsi="Tahoma" w:cs="Tahoma"/>
          <w:b/>
          <w:sz w:val="20"/>
          <w:szCs w:val="20"/>
        </w:rPr>
        <w:t>(ii)</w:t>
      </w:r>
      <w:r w:rsidRPr="00674BC9">
        <w:rPr>
          <w:rFonts w:ascii="Tahoma" w:hAnsi="Tahoma" w:cs="Tahoma"/>
          <w:sz w:val="20"/>
          <w:szCs w:val="20"/>
        </w:rPr>
        <w:t xml:space="preserve"> </w:t>
      </w:r>
      <w:r w:rsidRPr="00674BC9">
        <w:rPr>
          <w:rFonts w:ascii="Tahoma" w:hAnsi="Tahoma" w:cs="Tahoma"/>
          <w:i/>
          <w:sz w:val="20"/>
          <w:szCs w:val="20"/>
        </w:rPr>
        <w:t>Julio Joel Caycho Huamancondor</w:t>
      </w:r>
      <w:r w:rsidRPr="00674BC9">
        <w:rPr>
          <w:rFonts w:ascii="Tahoma" w:hAnsi="Tahoma" w:cs="Tahoma"/>
          <w:sz w:val="20"/>
          <w:szCs w:val="20"/>
        </w:rPr>
        <w:t xml:space="preserve">, Socio accionista y Director, identificado con DNI № 10745000; y, </w:t>
      </w:r>
      <w:r w:rsidRPr="00674BC9">
        <w:rPr>
          <w:rFonts w:ascii="Tahoma" w:hAnsi="Tahoma" w:cs="Tahoma"/>
          <w:b/>
          <w:sz w:val="20"/>
          <w:szCs w:val="20"/>
        </w:rPr>
        <w:t xml:space="preserve">(iii) </w:t>
      </w:r>
      <w:r w:rsidRPr="00674BC9">
        <w:rPr>
          <w:rFonts w:ascii="Tahoma" w:hAnsi="Tahoma" w:cs="Tahoma"/>
          <w:sz w:val="20"/>
          <w:szCs w:val="20"/>
        </w:rPr>
        <w:t>Doña Julia Huamancondor Acero, Socia accionista y Directora, identificada con DNI № 09030420. Asimismo, el señor José Erland Caycho Huamancondor fue nombrado Gerente Administrativo, según escritura pública del 05 de agosto de 2010, otorgada al Notario Público del Callao, Antonio Vega Erausquin.</w:t>
      </w:r>
    </w:p>
    <w:p w:rsidR="00674BC9" w:rsidRPr="00674BC9" w:rsidRDefault="00674BC9" w:rsidP="00674BC9">
      <w:pPr>
        <w:pStyle w:val="Prrafodelista"/>
        <w:widowControl w:val="0"/>
        <w:tabs>
          <w:tab w:val="left" w:pos="0"/>
          <w:tab w:val="left" w:pos="4320"/>
        </w:tabs>
        <w:suppressAutoHyphens/>
        <w:ind w:left="567"/>
        <w:jc w:val="both"/>
        <w:rPr>
          <w:rFonts w:ascii="Tahoma" w:hAnsi="Tahoma" w:cs="Tahoma"/>
          <w:sz w:val="20"/>
          <w:szCs w:val="20"/>
        </w:rPr>
      </w:pPr>
    </w:p>
    <w:p w:rsidR="00674BC9" w:rsidRPr="00674BC9" w:rsidRDefault="00674BC9" w:rsidP="00674BC9">
      <w:pPr>
        <w:pStyle w:val="Prrafodelista"/>
        <w:widowControl w:val="0"/>
        <w:numPr>
          <w:ilvl w:val="0"/>
          <w:numId w:val="1"/>
        </w:numPr>
        <w:tabs>
          <w:tab w:val="clear" w:pos="360"/>
          <w:tab w:val="left" w:pos="0"/>
          <w:tab w:val="num" w:pos="567"/>
          <w:tab w:val="left" w:pos="4320"/>
        </w:tabs>
        <w:suppressAutoHyphens/>
        <w:ind w:left="567" w:hanging="567"/>
        <w:contextualSpacing/>
        <w:jc w:val="both"/>
        <w:rPr>
          <w:rFonts w:ascii="Tahoma" w:hAnsi="Tahoma" w:cs="Tahoma"/>
          <w:sz w:val="20"/>
          <w:szCs w:val="20"/>
        </w:rPr>
      </w:pPr>
      <w:r w:rsidRPr="00674BC9">
        <w:rPr>
          <w:rFonts w:ascii="Tahoma" w:hAnsi="Tahoma" w:cs="Tahoma"/>
          <w:sz w:val="20"/>
          <w:szCs w:val="20"/>
        </w:rPr>
        <w:t>Con relación a ello, la Entidad remitió la Partida Registral № 70005158</w:t>
      </w:r>
      <w:r w:rsidRPr="00674BC9">
        <w:rPr>
          <w:rStyle w:val="Refdenotaalpie"/>
          <w:rFonts w:ascii="Tahoma" w:hAnsi="Tahoma" w:cs="Tahoma"/>
          <w:sz w:val="20"/>
          <w:szCs w:val="20"/>
        </w:rPr>
        <w:footnoteReference w:id="9"/>
      </w:r>
      <w:r w:rsidRPr="00674BC9">
        <w:rPr>
          <w:rFonts w:ascii="Tahoma" w:hAnsi="Tahoma" w:cs="Tahoma"/>
          <w:sz w:val="20"/>
          <w:szCs w:val="20"/>
        </w:rPr>
        <w:t xml:space="preserve">, de la cual se aprecia que en el Asiento B 00001, inscrito desde el mes de marzo del 2002, el nombramiento de los miembros del Directorio de la empresa SERVICIOS NAVALES E INDUSTRIALES SAN PEDRO S.A., en el siguiente orden: </w:t>
      </w:r>
      <w:r w:rsidRPr="00674BC9">
        <w:rPr>
          <w:rFonts w:ascii="Tahoma" w:hAnsi="Tahoma" w:cs="Tahoma"/>
          <w:b/>
          <w:sz w:val="20"/>
          <w:szCs w:val="20"/>
        </w:rPr>
        <w:t>(i)</w:t>
      </w:r>
      <w:r w:rsidRPr="00674BC9">
        <w:rPr>
          <w:rFonts w:ascii="Tahoma" w:hAnsi="Tahoma" w:cs="Tahoma"/>
          <w:sz w:val="20"/>
          <w:szCs w:val="20"/>
        </w:rPr>
        <w:t xml:space="preserve"> José Patrocinio Caycho Acosta, Presidente, identificado con DNI № 09030419; </w:t>
      </w:r>
      <w:r w:rsidRPr="00674BC9">
        <w:rPr>
          <w:rFonts w:ascii="Tahoma" w:hAnsi="Tahoma" w:cs="Tahoma"/>
          <w:b/>
          <w:sz w:val="20"/>
          <w:szCs w:val="20"/>
        </w:rPr>
        <w:t>(ii)</w:t>
      </w:r>
      <w:r w:rsidRPr="00674BC9">
        <w:rPr>
          <w:rFonts w:ascii="Tahoma" w:hAnsi="Tahoma" w:cs="Tahoma"/>
          <w:sz w:val="20"/>
          <w:szCs w:val="20"/>
        </w:rPr>
        <w:t xml:space="preserve"> </w:t>
      </w:r>
      <w:r w:rsidRPr="00674BC9">
        <w:rPr>
          <w:rFonts w:ascii="Tahoma" w:hAnsi="Tahoma" w:cs="Tahoma"/>
          <w:i/>
          <w:sz w:val="20"/>
          <w:szCs w:val="20"/>
        </w:rPr>
        <w:t>José Erland Caycho Huamancondo</w:t>
      </w:r>
      <w:r w:rsidRPr="00674BC9">
        <w:rPr>
          <w:rFonts w:ascii="Tahoma" w:hAnsi="Tahoma" w:cs="Tahoma"/>
          <w:sz w:val="20"/>
          <w:szCs w:val="20"/>
        </w:rPr>
        <w:t xml:space="preserve">r, Director, identificado con DNI № 10381971; y, </w:t>
      </w:r>
      <w:r w:rsidRPr="00674BC9">
        <w:rPr>
          <w:rFonts w:ascii="Tahoma" w:hAnsi="Tahoma" w:cs="Tahoma"/>
          <w:b/>
          <w:sz w:val="20"/>
          <w:szCs w:val="20"/>
        </w:rPr>
        <w:t>(iii)</w:t>
      </w:r>
      <w:r w:rsidRPr="00674BC9">
        <w:rPr>
          <w:rFonts w:ascii="Tahoma" w:hAnsi="Tahoma" w:cs="Tahoma"/>
          <w:sz w:val="20"/>
          <w:szCs w:val="20"/>
        </w:rPr>
        <w:t xml:space="preserve"> </w:t>
      </w:r>
      <w:r w:rsidRPr="00674BC9">
        <w:rPr>
          <w:rFonts w:ascii="Tahoma" w:hAnsi="Tahoma" w:cs="Tahoma"/>
          <w:i/>
          <w:sz w:val="20"/>
          <w:szCs w:val="20"/>
        </w:rPr>
        <w:t>Julio Joel Caycho Huamancondor</w:t>
      </w:r>
      <w:r w:rsidRPr="00674BC9">
        <w:rPr>
          <w:rFonts w:ascii="Tahoma" w:hAnsi="Tahoma" w:cs="Tahoma"/>
          <w:sz w:val="20"/>
          <w:szCs w:val="20"/>
        </w:rPr>
        <w:t>, Director, identificado con DNI № 10745000.</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Prrafodelista"/>
        <w:widowControl w:val="0"/>
        <w:tabs>
          <w:tab w:val="left" w:pos="0"/>
          <w:tab w:val="left" w:pos="4320"/>
        </w:tabs>
        <w:suppressAutoHyphens/>
        <w:ind w:left="567"/>
        <w:jc w:val="both"/>
        <w:rPr>
          <w:rFonts w:ascii="Tahoma" w:hAnsi="Tahoma" w:cs="Tahoma"/>
          <w:sz w:val="20"/>
          <w:szCs w:val="20"/>
        </w:rPr>
      </w:pPr>
      <w:r w:rsidRPr="00674BC9">
        <w:rPr>
          <w:rFonts w:ascii="Tahoma" w:hAnsi="Tahoma" w:cs="Tahoma"/>
          <w:sz w:val="20"/>
          <w:szCs w:val="20"/>
        </w:rPr>
        <w:t>Asimismo, es preciso resaltar que, en el rubro de aumento y modificación del estatuto de fecha 22 de Junio de 2010, se verifica que no se efectuó modificación alguna en cuanto al Directorio de la mencionada empresa.</w:t>
      </w:r>
    </w:p>
    <w:p w:rsidR="00674BC9" w:rsidRPr="00674BC9" w:rsidRDefault="00674BC9" w:rsidP="00674BC9">
      <w:pPr>
        <w:pStyle w:val="Prrafodelista"/>
        <w:widowControl w:val="0"/>
        <w:tabs>
          <w:tab w:val="left" w:pos="0"/>
          <w:tab w:val="left" w:pos="4320"/>
        </w:tabs>
        <w:suppressAutoHyphens/>
        <w:ind w:left="567"/>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eastAsia="Calibri" w:hAnsi="Tahoma" w:cs="Tahoma"/>
          <w:sz w:val="20"/>
          <w:szCs w:val="20"/>
          <w:lang w:eastAsia="en-US"/>
        </w:rPr>
        <w:t xml:space="preserve">En esa medida, este Colegiado ha tenido a la vista la Resolución № 067-2010-TC-S4 de fecha 18 de enero de 2010, mediante la cual la Cuarta Sala del Tribunal de Contrataciones del Estado impuso a la empresa </w:t>
      </w:r>
      <w:r w:rsidRPr="00674BC9">
        <w:rPr>
          <w:rFonts w:ascii="Tahoma" w:hAnsi="Tahoma" w:cs="Tahoma"/>
          <w:sz w:val="20"/>
          <w:szCs w:val="20"/>
        </w:rPr>
        <w:t>SERVICIOS NAVALES E INDUSTRIALES SAN PEDRO S.A.</w:t>
      </w:r>
      <w:r w:rsidRPr="00674BC9">
        <w:rPr>
          <w:rFonts w:ascii="Tahoma" w:eastAsia="Calibri" w:hAnsi="Tahoma" w:cs="Tahoma"/>
          <w:sz w:val="20"/>
          <w:szCs w:val="20"/>
          <w:lang w:eastAsia="en-US"/>
        </w:rPr>
        <w:t xml:space="preserve">, sanción de inhabilitación temporal en sus derechos para participar en procesos de selección y contratar con el Estado por el periodo de catorce (14) meses, al haberse comprobado su responsabilidad en la no suscripción del contrato. </w:t>
      </w:r>
      <w:r w:rsidRPr="00674BC9">
        <w:rPr>
          <w:rFonts w:ascii="Tahoma" w:hAnsi="Tahoma" w:cs="Tahoma"/>
          <w:sz w:val="20"/>
          <w:szCs w:val="20"/>
          <w:lang w:val="es-MX"/>
        </w:rPr>
        <w:t>Asimismo, d</w:t>
      </w:r>
      <w:r w:rsidRPr="00674BC9">
        <w:rPr>
          <w:rFonts w:ascii="Tahoma" w:hAnsi="Tahoma" w:cs="Tahoma"/>
          <w:color w:val="000000"/>
          <w:sz w:val="20"/>
          <w:szCs w:val="20"/>
        </w:rPr>
        <w:t>e conformidad con la información que obra en la base de datos del Registro Nacional de Proveedores del OSCE, dicha sanción se hizo efectiva desde el 15 de febrero de 2010 al 14 de abril de 2011.</w:t>
      </w:r>
    </w:p>
    <w:p w:rsidR="00674BC9" w:rsidRPr="00674BC9" w:rsidRDefault="00674BC9" w:rsidP="00674BC9">
      <w:pPr>
        <w:pStyle w:val="Prrafodelista"/>
        <w:ind w:left="567"/>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eastAsia="Calibri" w:hAnsi="Tahoma" w:cs="Tahoma"/>
          <w:sz w:val="20"/>
          <w:szCs w:val="20"/>
          <w:lang w:eastAsia="en-US"/>
        </w:rPr>
        <w:lastRenderedPageBreak/>
        <w:t xml:space="preserve">De este modo, al advertirse que los señores </w:t>
      </w:r>
      <w:r w:rsidRPr="00674BC9">
        <w:rPr>
          <w:rFonts w:ascii="Tahoma" w:eastAsia="Calibri" w:hAnsi="Tahoma" w:cs="Tahoma"/>
          <w:sz w:val="20"/>
          <w:szCs w:val="20"/>
          <w:lang w:val="es-ES_tradnl" w:eastAsia="en-US"/>
        </w:rPr>
        <w:t xml:space="preserve">Julio Joel Caycho Huamancondor y José Erland Caycho Huamancondor eran integrantes del órgano de administración de la empresa </w:t>
      </w:r>
      <w:r w:rsidRPr="00674BC9">
        <w:rPr>
          <w:rFonts w:ascii="Tahoma" w:hAnsi="Tahoma" w:cs="Tahoma"/>
          <w:sz w:val="20"/>
          <w:szCs w:val="20"/>
        </w:rPr>
        <w:t xml:space="preserve">INGENIERIA Y PROYECTOS ELECTROMECANICOS INTEGRALES S.A.C., </w:t>
      </w:r>
      <w:r w:rsidRPr="00674BC9">
        <w:rPr>
          <w:rFonts w:ascii="Tahoma" w:eastAsia="Calibri" w:hAnsi="Tahoma" w:cs="Tahoma"/>
          <w:sz w:val="20"/>
          <w:szCs w:val="20"/>
          <w:lang w:eastAsia="en-US"/>
        </w:rPr>
        <w:t xml:space="preserve">así como de la empresa </w:t>
      </w:r>
      <w:r w:rsidRPr="00674BC9">
        <w:rPr>
          <w:rFonts w:ascii="Tahoma" w:hAnsi="Tahoma" w:cs="Tahoma"/>
          <w:sz w:val="20"/>
          <w:szCs w:val="20"/>
        </w:rPr>
        <w:t>SERVICIOS NAVALES E INDUSTRIALES SAN PEDRO S.A.</w:t>
      </w:r>
      <w:r w:rsidRPr="00674BC9">
        <w:rPr>
          <w:rFonts w:ascii="Tahoma" w:eastAsia="Calibri" w:hAnsi="Tahoma" w:cs="Tahoma"/>
          <w:sz w:val="20"/>
          <w:szCs w:val="20"/>
          <w:lang w:eastAsia="en-US"/>
        </w:rPr>
        <w:t xml:space="preserve">, y que ésta última empresa ha sido sancionada con inhabilitación temporal para participar en procesos de selección y contratar con el Estado, sanción vigente desde el 15 de febrero de 2010, puede colegirse entonces que el Postor, al momento de participar en el proceso de selección materia de análisis (13 de septiembre de 2010), habría estado impedido de participar en procesos de selección y contratar con el Estado, </w:t>
      </w:r>
      <w:r w:rsidRPr="00674BC9">
        <w:rPr>
          <w:rFonts w:ascii="Tahoma" w:eastAsia="Calibri" w:hAnsi="Tahoma" w:cs="Tahoma"/>
          <w:sz w:val="20"/>
          <w:szCs w:val="20"/>
          <w:u w:val="single"/>
          <w:lang w:eastAsia="en-US"/>
        </w:rPr>
        <w:t xml:space="preserve">toda vez </w:t>
      </w:r>
      <w:r w:rsidRPr="00674BC9">
        <w:rPr>
          <w:rFonts w:ascii="Tahoma" w:hAnsi="Tahoma" w:cs="Tahoma"/>
          <w:sz w:val="20"/>
          <w:szCs w:val="20"/>
          <w:u w:val="single"/>
        </w:rPr>
        <w:t>que de acuerdo lo señalado en literal k) del artículo 10 de la Ley el sólo hecho de ser integrantes del órgano de administración</w:t>
      </w:r>
      <w:r w:rsidRPr="00674BC9">
        <w:rPr>
          <w:rStyle w:val="Refdenotaalpie"/>
          <w:rFonts w:ascii="Tahoma" w:hAnsi="Tahoma" w:cs="Tahoma"/>
          <w:sz w:val="20"/>
          <w:szCs w:val="20"/>
          <w:u w:val="single"/>
        </w:rPr>
        <w:footnoteReference w:id="10"/>
      </w:r>
      <w:r w:rsidRPr="00674BC9">
        <w:rPr>
          <w:rFonts w:ascii="Tahoma" w:hAnsi="Tahoma" w:cs="Tahoma"/>
          <w:sz w:val="20"/>
          <w:szCs w:val="20"/>
          <w:u w:val="single"/>
        </w:rPr>
        <w:t xml:space="preserve"> de la empresa sancionada, ya le otorga dicha condición, sin necesidad de observar el porcentaje de participación que tengan en las mismas, </w:t>
      </w:r>
      <w:r w:rsidRPr="00674BC9">
        <w:rPr>
          <w:rFonts w:ascii="Tahoma" w:eastAsia="Calibri" w:hAnsi="Tahoma" w:cs="Tahoma"/>
          <w:sz w:val="20"/>
          <w:szCs w:val="20"/>
          <w:u w:val="single"/>
          <w:lang w:eastAsia="en-US"/>
        </w:rPr>
        <w:t>de modo que la afirmación contenida en la Declaración Jurada presentada en dicho proceso de selección contendría una afirmación inexacta</w:t>
      </w:r>
      <w:r w:rsidRPr="00674BC9">
        <w:rPr>
          <w:rFonts w:ascii="Tahoma" w:eastAsia="Calibri" w:hAnsi="Tahoma" w:cs="Tahoma"/>
          <w:sz w:val="20"/>
          <w:szCs w:val="20"/>
          <w:lang w:eastAsia="en-US"/>
        </w:rPr>
        <w:t>.</w:t>
      </w:r>
    </w:p>
    <w:p w:rsidR="00674BC9" w:rsidRPr="00674BC9" w:rsidRDefault="00674BC9" w:rsidP="00674BC9">
      <w:pPr>
        <w:pStyle w:val="Prrafodelista"/>
        <w:ind w:left="567"/>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Sin perjuicio de lo expuesto, resulta necesario traer a colación que el Postor exhibió ante el Tribunal las Cartas de fecha 02 de enero de 2009</w:t>
      </w:r>
      <w:r w:rsidRPr="00674BC9">
        <w:rPr>
          <w:rStyle w:val="Refdenotaalpie"/>
          <w:rFonts w:ascii="Tahoma" w:hAnsi="Tahoma" w:cs="Tahoma"/>
          <w:sz w:val="20"/>
          <w:szCs w:val="20"/>
        </w:rPr>
        <w:footnoteReference w:id="11"/>
      </w:r>
      <w:r w:rsidRPr="00674BC9">
        <w:rPr>
          <w:rFonts w:ascii="Tahoma" w:hAnsi="Tahoma" w:cs="Tahoma"/>
          <w:sz w:val="20"/>
          <w:szCs w:val="20"/>
        </w:rPr>
        <w:t>, suscritas por los señores Julio Joel Caycho Huamancondor y José Erland Caycho Huamancondor, mediante las cuales comunicaron al Gerente General de la empresa SERVICIOS NAVALES E INDUSTRIALES SAN PEDRO S.A., el señor Jose Patrocinio Caycho Acosta, que renunciaban de manera irrevocable al cargo de Directores de la mencionada empresa.</w:t>
      </w:r>
    </w:p>
    <w:p w:rsidR="00674BC9" w:rsidRPr="00674BC9" w:rsidRDefault="00674BC9" w:rsidP="00674BC9">
      <w:pPr>
        <w:pStyle w:val="Prrafodelista"/>
        <w:rPr>
          <w:rFonts w:ascii="Tahoma" w:eastAsia="Calibri" w:hAnsi="Tahoma" w:cs="Tahoma"/>
          <w:sz w:val="20"/>
          <w:szCs w:val="20"/>
          <w:lang w:val="es-ES_tradnl" w:eastAsia="en-US"/>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eastAsia="Calibri" w:hAnsi="Tahoma" w:cs="Tahoma"/>
          <w:sz w:val="20"/>
          <w:szCs w:val="20"/>
          <w:lang w:val="es-ES_tradnl" w:eastAsia="en-US"/>
        </w:rPr>
        <w:t xml:space="preserve">Al respecto, la Ley General de Sociedades, Ley № 26887, en su artículo 163 establece que el Directorio, si bien es elegido por un periodo de tres (03) años, continúa en sus funciones, aunque hubiese concluido su periodo, </w:t>
      </w:r>
      <w:r w:rsidRPr="00674BC9">
        <w:rPr>
          <w:rFonts w:ascii="Tahoma" w:eastAsia="Calibri" w:hAnsi="Tahoma" w:cs="Tahoma"/>
          <w:b/>
          <w:sz w:val="20"/>
          <w:szCs w:val="20"/>
          <w:lang w:val="es-ES_tradnl" w:eastAsia="en-US"/>
        </w:rPr>
        <w:t>mientras no se produzca nueva elección</w:t>
      </w:r>
      <w:r w:rsidRPr="00674BC9">
        <w:rPr>
          <w:rFonts w:ascii="Tahoma" w:eastAsia="Calibri" w:hAnsi="Tahoma" w:cs="Tahoma"/>
          <w:sz w:val="20"/>
          <w:szCs w:val="20"/>
          <w:lang w:val="es-ES_tradnl" w:eastAsia="en-US"/>
        </w:rPr>
        <w:t>.</w:t>
      </w:r>
    </w:p>
    <w:p w:rsidR="00674BC9" w:rsidRPr="00674BC9" w:rsidRDefault="00674BC9" w:rsidP="00674BC9">
      <w:pPr>
        <w:pStyle w:val="Prrafodelista"/>
        <w:rPr>
          <w:rFonts w:ascii="Tahoma" w:eastAsia="Calibri" w:hAnsi="Tahoma" w:cs="Tahoma"/>
          <w:sz w:val="20"/>
          <w:szCs w:val="20"/>
          <w:lang w:val="es-ES_tradnl" w:eastAsia="en-US"/>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eastAsia="Calibri" w:hAnsi="Tahoma" w:cs="Tahoma"/>
          <w:sz w:val="20"/>
          <w:szCs w:val="20"/>
          <w:lang w:val="es-ES_tradnl" w:eastAsia="en-US"/>
        </w:rPr>
        <w:t xml:space="preserve">Asimismo los artículos 14 y 15 del mismo cuerpo legal, establecen que el nombramiento de cualquier representante de la sociedad así como el otorgamiento de poderes surten efecto desde su aceptación expresa o desde que las referidas personas desempeñan la función. Estos actos o cualquier revocación, renuncia, modificación o sustitución de las personas antes mencionadas o de sus poderes </w:t>
      </w:r>
      <w:r w:rsidRPr="00674BC9">
        <w:rPr>
          <w:rFonts w:ascii="Tahoma" w:eastAsia="Calibri" w:hAnsi="Tahoma" w:cs="Tahoma"/>
          <w:b/>
          <w:sz w:val="20"/>
          <w:szCs w:val="20"/>
          <w:lang w:val="es-ES_tradnl" w:eastAsia="en-US"/>
        </w:rPr>
        <w:t xml:space="preserve">deben inscribirse, </w:t>
      </w:r>
      <w:r w:rsidRPr="00674BC9">
        <w:rPr>
          <w:rFonts w:ascii="Tahoma" w:eastAsia="Calibri" w:hAnsi="Tahoma" w:cs="Tahoma"/>
          <w:sz w:val="20"/>
          <w:szCs w:val="20"/>
          <w:lang w:val="es-ES_tradnl" w:eastAsia="en-US"/>
        </w:rPr>
        <w:t xml:space="preserve">así como también toda persona cuyo nombramiento ha sido inscrito tiene derecho a que el registro </w:t>
      </w:r>
      <w:r w:rsidRPr="00674BC9">
        <w:rPr>
          <w:rFonts w:ascii="Tahoma" w:eastAsia="Calibri" w:hAnsi="Tahoma" w:cs="Tahoma"/>
          <w:b/>
          <w:sz w:val="20"/>
          <w:szCs w:val="20"/>
          <w:lang w:val="es-ES_tradnl" w:eastAsia="en-US"/>
        </w:rPr>
        <w:t>inscriba su renuncia</w:t>
      </w:r>
      <w:r w:rsidRPr="00674BC9">
        <w:rPr>
          <w:rFonts w:ascii="Tahoma" w:eastAsia="Calibri" w:hAnsi="Tahoma" w:cs="Tahoma"/>
          <w:sz w:val="20"/>
          <w:szCs w:val="20"/>
          <w:lang w:val="es-ES_tradnl" w:eastAsia="en-US"/>
        </w:rPr>
        <w:t xml:space="preserve"> </w:t>
      </w:r>
      <w:r w:rsidRPr="00674BC9">
        <w:rPr>
          <w:rFonts w:ascii="Tahoma" w:eastAsia="Calibri" w:hAnsi="Tahoma" w:cs="Tahoma"/>
          <w:b/>
          <w:sz w:val="20"/>
          <w:szCs w:val="20"/>
          <w:lang w:val="es-ES_tradnl" w:eastAsia="en-US"/>
        </w:rPr>
        <w:t>conforme lo preceptúa el artículo 31 del Reglamento de Registro de Sociedades</w:t>
      </w:r>
      <w:r w:rsidRPr="00674BC9">
        <w:rPr>
          <w:rStyle w:val="Refdenotaalpie"/>
          <w:rFonts w:ascii="Tahoma" w:eastAsia="Calibri" w:hAnsi="Tahoma" w:cs="Tahoma"/>
          <w:b/>
          <w:sz w:val="20"/>
          <w:szCs w:val="20"/>
          <w:lang w:val="es-ES_tradnl" w:eastAsia="en-US"/>
        </w:rPr>
        <w:footnoteReference w:id="12"/>
      </w:r>
      <w:r w:rsidRPr="00674BC9">
        <w:rPr>
          <w:rFonts w:ascii="Tahoma" w:eastAsia="Calibri" w:hAnsi="Tahoma" w:cs="Tahoma"/>
          <w:sz w:val="20"/>
          <w:szCs w:val="20"/>
          <w:lang w:val="es-ES_tradnl" w:eastAsia="en-US"/>
        </w:rPr>
        <w:t>.</w:t>
      </w:r>
      <w:r w:rsidRPr="00674BC9">
        <w:rPr>
          <w:rFonts w:ascii="Tahoma" w:eastAsia="Calibri" w:hAnsi="Tahoma" w:cs="Tahoma"/>
          <w:b/>
          <w:sz w:val="20"/>
          <w:szCs w:val="20"/>
          <w:lang w:val="es-ES_tradnl" w:eastAsia="en-US"/>
        </w:rPr>
        <w:t xml:space="preserve"> </w:t>
      </w:r>
      <w:r w:rsidRPr="00674BC9">
        <w:rPr>
          <w:rFonts w:ascii="Tahoma" w:eastAsia="Calibri" w:hAnsi="Tahoma" w:cs="Tahoma"/>
          <w:sz w:val="20"/>
          <w:szCs w:val="20"/>
          <w:lang w:val="es-ES_tradnl" w:eastAsia="en-US"/>
        </w:rPr>
        <w:t>En atención a ello</w:t>
      </w:r>
      <w:r w:rsidRPr="00674BC9">
        <w:rPr>
          <w:rFonts w:ascii="Tahoma" w:eastAsia="Calibri" w:hAnsi="Tahoma" w:cs="Tahoma"/>
          <w:sz w:val="20"/>
          <w:szCs w:val="20"/>
          <w:lang w:eastAsia="en-US"/>
        </w:rPr>
        <w:t xml:space="preserve">, el texto legal citado es claro en cuanto impone a las sociedades comerciales la carga de inscribir la designación y el cese de sus administradores, directores y demás representantes. Es así, que tal disposición es </w:t>
      </w:r>
      <w:r w:rsidRPr="00674BC9">
        <w:rPr>
          <w:rFonts w:ascii="Tahoma" w:eastAsia="Calibri" w:hAnsi="Tahoma" w:cs="Tahoma"/>
          <w:sz w:val="20"/>
          <w:szCs w:val="20"/>
          <w:lang w:eastAsia="en-US"/>
        </w:rPr>
        <w:lastRenderedPageBreak/>
        <w:t>correcta y guarda sustancial importancia para el trafico jurídico conocer quiénes son los administradores, directores, liquidadores y demás representantes de las sociedades comerciales, por lo tanto el legislador es acertado al imponer publicidad que emana del registro. En ese orden de ideas, las Cartas de fechas 2 de enero de 2009, exhibidas por el Postor ante el Tribunal tendrán como consecuencia que éstas sean inoponibles en el acto o contrato que se trate –acto subsiste entre las partes que lo celebran–, por lo que la designación, revocación y renuncia no inscrita no goza del efecto de oponibilidad que otorga el Registro frente a terceros.</w:t>
      </w:r>
    </w:p>
    <w:p w:rsidR="00674BC9" w:rsidRPr="00674BC9" w:rsidRDefault="00674BC9" w:rsidP="00674BC9">
      <w:pPr>
        <w:pStyle w:val="Prrafodelista"/>
        <w:ind w:left="567"/>
        <w:jc w:val="both"/>
        <w:rPr>
          <w:rFonts w:ascii="Tahoma" w:hAnsi="Tahoma" w:cs="Tahoma"/>
          <w:sz w:val="20"/>
          <w:szCs w:val="20"/>
        </w:rPr>
      </w:pPr>
    </w:p>
    <w:p w:rsidR="00674BC9" w:rsidRPr="00674BC9" w:rsidRDefault="00674BC9" w:rsidP="00674BC9">
      <w:pPr>
        <w:pStyle w:val="Prrafodelista"/>
        <w:tabs>
          <w:tab w:val="num" w:pos="567"/>
        </w:tabs>
        <w:ind w:left="567"/>
        <w:jc w:val="both"/>
        <w:rPr>
          <w:rFonts w:ascii="Tahoma" w:hAnsi="Tahoma" w:cs="Tahoma"/>
          <w:sz w:val="20"/>
          <w:szCs w:val="20"/>
        </w:rPr>
      </w:pPr>
      <w:r w:rsidRPr="00674BC9">
        <w:rPr>
          <w:rFonts w:ascii="Tahoma" w:hAnsi="Tahoma" w:cs="Tahoma"/>
          <w:sz w:val="20"/>
          <w:szCs w:val="20"/>
        </w:rPr>
        <w:t>En efecto, las citadas cartas presentadas por el Postor n</w:t>
      </w:r>
      <w:r w:rsidRPr="00674BC9">
        <w:rPr>
          <w:rFonts w:ascii="Tahoma" w:eastAsia="Calibri" w:hAnsi="Tahoma" w:cs="Tahoma"/>
          <w:sz w:val="20"/>
          <w:szCs w:val="20"/>
          <w:lang w:eastAsia="en-US"/>
        </w:rPr>
        <w:t xml:space="preserve">o cumplen con lo prescrito en la Ley especial, </w:t>
      </w:r>
      <w:r w:rsidRPr="00674BC9">
        <w:rPr>
          <w:rFonts w:ascii="Tahoma" w:eastAsia="Calibri" w:hAnsi="Tahoma" w:cs="Tahoma"/>
          <w:sz w:val="20"/>
          <w:szCs w:val="20"/>
          <w:u w:val="single"/>
          <w:lang w:eastAsia="en-US"/>
        </w:rPr>
        <w:t xml:space="preserve">ya que no obra en autos la inscripción registral de la renuncia de los Directores de la empresa </w:t>
      </w:r>
      <w:r w:rsidRPr="00674BC9">
        <w:rPr>
          <w:rFonts w:ascii="Tahoma" w:hAnsi="Tahoma" w:cs="Tahoma"/>
          <w:sz w:val="20"/>
          <w:szCs w:val="20"/>
          <w:u w:val="single"/>
        </w:rPr>
        <w:t>SERVICIOS NAVALES E INDUSTRIALES SAN PEDRO S.A. (inhabilitada para contratar con el Estado)</w:t>
      </w:r>
      <w:r w:rsidRPr="00674BC9">
        <w:rPr>
          <w:rFonts w:ascii="Tahoma" w:eastAsia="Calibri" w:hAnsi="Tahoma" w:cs="Tahoma"/>
          <w:sz w:val="20"/>
          <w:szCs w:val="20"/>
          <w:lang w:eastAsia="en-US"/>
        </w:rPr>
        <w:t>; hecho que no puede pasar desapercibido en la medida que éstas no resultan oponibles –</w:t>
      </w:r>
      <w:r w:rsidRPr="00674BC9">
        <w:rPr>
          <w:rFonts w:ascii="Tahoma" w:eastAsia="Calibri" w:hAnsi="Tahoma" w:cs="Tahoma"/>
          <w:i/>
          <w:sz w:val="20"/>
          <w:szCs w:val="20"/>
          <w:lang w:eastAsia="en-US"/>
        </w:rPr>
        <w:t>caracterizada por imponerse al tercero la realidad del acto jurídico</w:t>
      </w:r>
      <w:r w:rsidRPr="00674BC9">
        <w:rPr>
          <w:rFonts w:ascii="Tahoma" w:eastAsia="Calibri" w:hAnsi="Tahoma" w:cs="Tahoma"/>
          <w:sz w:val="20"/>
          <w:szCs w:val="20"/>
          <w:lang w:eastAsia="en-US"/>
        </w:rPr>
        <w:t>– a este Colegiado sobre la renuncia de los directores antes citados.</w:t>
      </w:r>
    </w:p>
    <w:p w:rsidR="00674BC9" w:rsidRPr="00674BC9" w:rsidRDefault="00674BC9" w:rsidP="00674BC9">
      <w:pPr>
        <w:pStyle w:val="Prrafodelista"/>
        <w:rPr>
          <w:rFonts w:ascii="Tahoma" w:eastAsia="Calibri" w:hAnsi="Tahoma" w:cs="Tahoma"/>
          <w:sz w:val="20"/>
          <w:szCs w:val="20"/>
          <w:lang w:eastAsia="en-US"/>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En consecuencia, en el caso materia de autos se ha verificado la existencia de un innegable vínculo entre la Postor y la conducta prevista en la norma como infracción. Por este motivo, debe concluirse que la infracción se ha cometido y que su autor ha sido la mencionada empresa.</w:t>
      </w:r>
    </w:p>
    <w:p w:rsidR="00674BC9" w:rsidRPr="00674BC9" w:rsidRDefault="00674BC9" w:rsidP="00674BC9">
      <w:pPr>
        <w:pStyle w:val="Prrafodelista"/>
        <w:rPr>
          <w:rFonts w:ascii="Tahoma" w:eastAsia="Calibri" w:hAnsi="Tahoma" w:cs="Tahoma"/>
          <w:sz w:val="20"/>
          <w:szCs w:val="20"/>
          <w:lang w:eastAsia="en-US"/>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eastAsia="Calibri" w:hAnsi="Tahoma" w:cs="Tahoma"/>
          <w:sz w:val="20"/>
          <w:szCs w:val="20"/>
          <w:lang w:eastAsia="en-US"/>
        </w:rPr>
        <w:t xml:space="preserve">En razón a los hechos expuestos, este Colegiado concluye que en el presente caso se ha configurado la infracción contemplada en el numeral 51.1 literal i) del artículo 51 de la Ley y numeral i) literal i) del artículo 237 de su Reglamento, que tipifican como infracción susceptible de sanción los supuestos en los cuales los agentes privados de la contratación estatal presenten documentos falsos </w:t>
      </w:r>
      <w:r w:rsidRPr="00674BC9">
        <w:rPr>
          <w:rFonts w:ascii="Tahoma" w:eastAsia="Calibri" w:hAnsi="Tahoma" w:cs="Tahoma"/>
          <w:sz w:val="20"/>
          <w:szCs w:val="20"/>
          <w:u w:val="single"/>
          <w:lang w:eastAsia="en-US"/>
        </w:rPr>
        <w:t>o inexactos a las Entidades</w:t>
      </w:r>
      <w:r w:rsidRPr="00674BC9">
        <w:rPr>
          <w:rFonts w:ascii="Tahoma" w:eastAsia="Calibri" w:hAnsi="Tahoma" w:cs="Tahoma"/>
          <w:sz w:val="20"/>
          <w:szCs w:val="20"/>
          <w:lang w:eastAsia="en-US"/>
        </w:rPr>
        <w:t xml:space="preserve">, al Tribunal  o al OSCE. </w:t>
      </w:r>
    </w:p>
    <w:p w:rsidR="00674BC9" w:rsidRPr="00674BC9" w:rsidRDefault="00674BC9" w:rsidP="00674BC9">
      <w:pPr>
        <w:ind w:left="709"/>
        <w:jc w:val="both"/>
        <w:rPr>
          <w:rFonts w:ascii="Tahoma" w:eastAsia="Calibri" w:hAnsi="Tahoma" w:cs="Tahoma"/>
          <w:b/>
          <w:sz w:val="20"/>
          <w:szCs w:val="20"/>
          <w:lang w:eastAsia="en-US"/>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Ahora bien, cabe señalar que, para la infracción cometida por el Postor, el Reglamento ha previsto una sanción administrativa de inhabilitación temporal para participar en procesos de selección y contratar con el Estado por un periodo no menor de un (1) año ni mayor de tres (3) años.</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En ese orden de ideas, a efectos de graduar la sanción administrativa a imponerse, debe considerarse los criterios establecidos en el artículo 245 del Reglamento</w:t>
      </w:r>
      <w:r w:rsidRPr="00674BC9">
        <w:rPr>
          <w:rStyle w:val="Refdenotaalpie"/>
          <w:rFonts w:ascii="Tahoma" w:hAnsi="Tahoma" w:cs="Tahoma"/>
          <w:sz w:val="20"/>
          <w:szCs w:val="20"/>
        </w:rPr>
        <w:footnoteReference w:id="13"/>
      </w:r>
      <w:r w:rsidRPr="00674BC9">
        <w:rPr>
          <w:rFonts w:ascii="Tahoma" w:hAnsi="Tahoma" w:cs="Tahoma"/>
          <w:sz w:val="20"/>
          <w:szCs w:val="20"/>
        </w:rPr>
        <w:t xml:space="preserve">. </w:t>
      </w:r>
    </w:p>
    <w:p w:rsidR="00674BC9" w:rsidRPr="00674BC9" w:rsidRDefault="00674BC9" w:rsidP="00674BC9">
      <w:pPr>
        <w:pStyle w:val="Prrafodelista"/>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lastRenderedPageBreak/>
        <w:t xml:space="preserve">En ese sentido, en relación con la naturaleza de la infracción cometida, se advierte que ésta reviste una considerable gravedad, debido a la vulneración del </w:t>
      </w:r>
      <w:r w:rsidRPr="00674BC9">
        <w:rPr>
          <w:rFonts w:ascii="Tahoma" w:hAnsi="Tahoma" w:cs="Tahoma"/>
          <w:i/>
          <w:sz w:val="20"/>
          <w:szCs w:val="20"/>
        </w:rPr>
        <w:t>Principio de Moralidad</w:t>
      </w:r>
      <w:r w:rsidRPr="00674BC9">
        <w:rPr>
          <w:rFonts w:ascii="Tahoma" w:hAnsi="Tahoma" w:cs="Tahoma"/>
          <w:sz w:val="20"/>
          <w:szCs w:val="20"/>
        </w:rPr>
        <w:t xml:space="preserve"> que debe regir todos los actos vinculados a las contrataciones públicas y que, junto a la fe pública, constituyen bienes jurídicos merecedores de protección especial, pues son los pilares que sostienen las relaciones entre la Administración Pública y los administrados.</w:t>
      </w:r>
    </w:p>
    <w:p w:rsidR="00674BC9" w:rsidRPr="00674BC9" w:rsidRDefault="00674BC9" w:rsidP="00674BC9">
      <w:pPr>
        <w:pStyle w:val="Prrafodelista"/>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 xml:space="preserve">En igual sentido, en cuanto al criterio de intencionalidad del infractor, debe precisarse que para graduar la sanción constituye un factor subjetivo que se dirige a medir el nivel de participación de la voluntad del agente en la comisión del ilícito. En tal sentido, resulta materialmente imposible que su probanza repose, en estricto, sobre la base de un medio probatorio objetivo. Por el contrario, a efectos de medir la intencionalidad, basta tomar en consideración una serie de hechos ciertos que permitan inferir claramente que existió voluntad de parte del infractor en la comisión del tipo, sea porque quiso obtener provecho propio o sea porque, en el peor de los casos, quiso causar algún tipo de daño. Por ello, la Declaración Jurada fecha 30 de septiembre de 2010 presentado por el Postor, </w:t>
      </w:r>
      <w:r w:rsidRPr="00674BC9">
        <w:rPr>
          <w:rFonts w:ascii="Tahoma" w:hAnsi="Tahoma" w:cs="Tahoma"/>
          <w:color w:val="000000"/>
          <w:sz w:val="20"/>
          <w:szCs w:val="20"/>
        </w:rPr>
        <w:t>según las Bases del mencionado proceso de selección, era un documento de presentación obligatoria a fin de su propuesta sea admitida, lo que revela la existencia de intencionalidad en la comisión del ilícito</w:t>
      </w:r>
      <w:r w:rsidRPr="00674BC9">
        <w:rPr>
          <w:rFonts w:ascii="Tahoma" w:hAnsi="Tahoma" w:cs="Tahoma"/>
          <w:sz w:val="20"/>
          <w:szCs w:val="20"/>
        </w:rPr>
        <w:t>.</w:t>
      </w:r>
    </w:p>
    <w:p w:rsidR="00674BC9" w:rsidRPr="00674BC9" w:rsidRDefault="00674BC9" w:rsidP="00674BC9">
      <w:pPr>
        <w:pStyle w:val="Prrafodelista"/>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De esta manera, en lo que atañe al daño causado, es relevante tomar en cuenta, por un lado, la cuantía que subyace la Adjudicación Directa Selectiva № 004/2010-SBS, por el monto de US$ 38 000.00 dólares americanos y, por el otro, que su incumplimiento generó un daño a la Entidad, causando el retraso en el cumplimiento de sus objetivos, el cual había sido programado y presupuestado con anticipación.</w:t>
      </w:r>
    </w:p>
    <w:p w:rsidR="00674BC9" w:rsidRPr="00674BC9" w:rsidRDefault="00674BC9" w:rsidP="00674BC9">
      <w:pPr>
        <w:pStyle w:val="Prrafodelista"/>
        <w:tabs>
          <w:tab w:val="num" w:pos="567"/>
        </w:tabs>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Sin perjuicio de lo anterior, respecto de las condiciones del infractor y de su conducta procesal durante la sustanciación del presente procedimiento administrativo sancionador, abona a favor del infractor la ausencia de antecedentes en la comisión de infracciones, así como que durante el presente procedimiento sancionador el Postor ha presentado sus descargos.</w:t>
      </w:r>
    </w:p>
    <w:p w:rsidR="00674BC9" w:rsidRPr="00674BC9" w:rsidRDefault="00674BC9" w:rsidP="00674BC9">
      <w:pPr>
        <w:pStyle w:val="Prrafodelista"/>
        <w:tabs>
          <w:tab w:val="num" w:pos="567"/>
        </w:tabs>
        <w:jc w:val="both"/>
        <w:rPr>
          <w:rFonts w:ascii="Tahoma" w:hAnsi="Tahoma" w:cs="Tahoma"/>
          <w:sz w:val="20"/>
          <w:szCs w:val="20"/>
        </w:rPr>
      </w:pPr>
    </w:p>
    <w:p w:rsidR="00674BC9" w:rsidRPr="00674BC9" w:rsidRDefault="00674BC9" w:rsidP="00674BC9">
      <w:pPr>
        <w:pStyle w:val="Prrafodelista"/>
        <w:numPr>
          <w:ilvl w:val="0"/>
          <w:numId w:val="1"/>
        </w:numPr>
        <w:tabs>
          <w:tab w:val="clear" w:pos="360"/>
          <w:tab w:val="num" w:pos="567"/>
        </w:tabs>
        <w:ind w:left="567" w:hanging="567"/>
        <w:contextualSpacing/>
        <w:jc w:val="both"/>
        <w:rPr>
          <w:rFonts w:ascii="Tahoma" w:hAnsi="Tahoma" w:cs="Tahoma"/>
          <w:sz w:val="20"/>
          <w:szCs w:val="20"/>
        </w:rPr>
      </w:pPr>
      <w:r w:rsidRPr="00674BC9">
        <w:rPr>
          <w:rFonts w:ascii="Tahoma" w:hAnsi="Tahoma" w:cs="Tahoma"/>
          <w:sz w:val="20"/>
          <w:szCs w:val="20"/>
        </w:rPr>
        <w:t xml:space="preserve">Asimismo, resulta importante traer a colación el </w:t>
      </w:r>
      <w:r w:rsidRPr="00674BC9">
        <w:rPr>
          <w:rFonts w:ascii="Tahoma" w:hAnsi="Tahoma" w:cs="Tahoma"/>
          <w:i/>
          <w:sz w:val="20"/>
          <w:szCs w:val="20"/>
        </w:rPr>
        <w:t>Principio de Razonabilidad</w:t>
      </w:r>
      <w:r w:rsidRPr="00674BC9">
        <w:rPr>
          <w:rFonts w:ascii="Tahoma" w:hAnsi="Tahoma" w:cs="Tahoma"/>
          <w:sz w:val="20"/>
          <w:szCs w:val="20"/>
        </w:rPr>
        <w:t xml:space="preserve"> consagrado en el numeral 1.4 del Artículo IV del Título Preliminar de la Ley del Procedimiento Administrativo General, por medio del cual las decisiones de la autoridad administrativa que impongan sanciones o establezcan restricciones a los administrados deben adoptarse dentro de los límites de la facultad atribuida y manteniendo debida proporción entre los medios a emplear y los fines públicos que deba tutelar, a fin que respondan a lo estrictamente necesario para la satisfacción de su cometido. </w:t>
      </w:r>
    </w:p>
    <w:p w:rsidR="00F31A7A" w:rsidRPr="00674BC9" w:rsidRDefault="00F31A7A" w:rsidP="00117E78">
      <w:pPr>
        <w:pStyle w:val="Prrafodelista"/>
        <w:tabs>
          <w:tab w:val="num" w:pos="567"/>
        </w:tabs>
        <w:ind w:left="0"/>
        <w:rPr>
          <w:rFonts w:ascii="Tahoma" w:hAnsi="Tahoma" w:cs="Tahoma"/>
          <w:sz w:val="20"/>
          <w:szCs w:val="20"/>
        </w:rPr>
      </w:pPr>
    </w:p>
    <w:p w:rsidR="00A03976" w:rsidRPr="00674BC9" w:rsidRDefault="00F31A7A" w:rsidP="00A03976">
      <w:pPr>
        <w:ind w:left="567" w:firstLine="567"/>
        <w:jc w:val="both"/>
        <w:rPr>
          <w:rFonts w:ascii="Tahoma" w:hAnsi="Tahoma" w:cs="Tahoma"/>
          <w:sz w:val="20"/>
          <w:szCs w:val="20"/>
        </w:rPr>
      </w:pPr>
      <w:r w:rsidRPr="00674BC9">
        <w:rPr>
          <w:rFonts w:ascii="Tahoma" w:hAnsi="Tahoma" w:cs="Tahoma"/>
          <w:sz w:val="20"/>
          <w:szCs w:val="20"/>
        </w:rPr>
        <w:t xml:space="preserve">                    </w:t>
      </w:r>
      <w:r w:rsidR="00A03976" w:rsidRPr="00674BC9">
        <w:rPr>
          <w:rFonts w:ascii="Tahoma" w:hAnsi="Tahoma" w:cs="Tahoma"/>
          <w:color w:val="000000"/>
          <w:sz w:val="20"/>
          <w:szCs w:val="20"/>
        </w:rPr>
        <w:t xml:space="preserve">Por estos fundamentos, de conformidad con el informe del Vocal Ponente </w:t>
      </w:r>
      <w:r w:rsidR="00A03976" w:rsidRPr="00674BC9">
        <w:rPr>
          <w:rFonts w:ascii="Tahoma" w:hAnsi="Tahoma" w:cs="Tahoma"/>
          <w:sz w:val="20"/>
          <w:szCs w:val="20"/>
        </w:rPr>
        <w:t>Doctor Carlos Vicente Navas Rondón</w:t>
      </w:r>
      <w:r w:rsidR="00A03976" w:rsidRPr="00674BC9">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w:t>
      </w:r>
      <w:r w:rsidR="00A03976" w:rsidRPr="00674BC9">
        <w:rPr>
          <w:rFonts w:ascii="Tahoma" w:hAnsi="Tahoma" w:cs="Tahoma"/>
          <w:color w:val="000000"/>
          <w:sz w:val="20"/>
          <w:szCs w:val="20"/>
        </w:rPr>
        <w:lastRenderedPageBreak/>
        <w:t>Decreto Supremo № 184-2008-EF, y los artículos 17 y 18 del Reglamento de Organización y Funciones del OSCE, aprobado por Decreto Supremo № 006-2009-EF; analizados los antecedentes y luego de agotado el debate correspondiente, por unanimidad;</w:t>
      </w:r>
    </w:p>
    <w:p w:rsidR="00F31A7A" w:rsidRPr="00674BC9" w:rsidRDefault="00F31A7A" w:rsidP="00266B38">
      <w:pPr>
        <w:ind w:left="567" w:firstLine="567"/>
        <w:jc w:val="both"/>
        <w:rPr>
          <w:rFonts w:ascii="Tahoma" w:hAnsi="Tahoma" w:cs="Tahoma"/>
          <w:sz w:val="20"/>
          <w:szCs w:val="20"/>
        </w:rPr>
      </w:pPr>
    </w:p>
    <w:p w:rsidR="00F31A7A" w:rsidRPr="00674BC9" w:rsidRDefault="00F31A7A" w:rsidP="00F31A7A">
      <w:pPr>
        <w:ind w:right="-315"/>
        <w:jc w:val="both"/>
        <w:rPr>
          <w:rFonts w:ascii="Tahoma" w:hAnsi="Tahoma" w:cs="Tahoma"/>
          <w:b/>
          <w:sz w:val="20"/>
          <w:szCs w:val="20"/>
        </w:rPr>
      </w:pPr>
      <w:r w:rsidRPr="00674BC9">
        <w:rPr>
          <w:rFonts w:ascii="Tahoma" w:hAnsi="Tahoma" w:cs="Tahoma"/>
          <w:b/>
          <w:sz w:val="20"/>
          <w:szCs w:val="20"/>
        </w:rPr>
        <w:t>LA SALA RESUELVE:</w:t>
      </w:r>
    </w:p>
    <w:p w:rsidR="00F31A7A" w:rsidRPr="00674BC9" w:rsidRDefault="00F31A7A" w:rsidP="00F31A7A">
      <w:pPr>
        <w:ind w:left="-180"/>
        <w:jc w:val="both"/>
        <w:rPr>
          <w:rFonts w:ascii="Tahoma" w:hAnsi="Tahoma" w:cs="Tahoma"/>
          <w:sz w:val="20"/>
          <w:szCs w:val="20"/>
        </w:rPr>
      </w:pPr>
    </w:p>
    <w:p w:rsidR="00404215" w:rsidRDefault="00674BC9" w:rsidP="00404215">
      <w:pPr>
        <w:pStyle w:val="NormalWeb"/>
        <w:numPr>
          <w:ilvl w:val="0"/>
          <w:numId w:val="9"/>
        </w:numPr>
        <w:tabs>
          <w:tab w:val="clear" w:pos="1068"/>
          <w:tab w:val="num" w:pos="567"/>
        </w:tabs>
        <w:spacing w:before="0" w:beforeAutospacing="0" w:after="0" w:afterAutospacing="0"/>
        <w:ind w:left="567" w:hanging="567"/>
        <w:jc w:val="both"/>
        <w:rPr>
          <w:rFonts w:ascii="Tahoma" w:hAnsi="Tahoma" w:cs="Tahoma"/>
          <w:sz w:val="20"/>
          <w:szCs w:val="20"/>
        </w:rPr>
      </w:pPr>
      <w:r w:rsidRPr="00674BC9">
        <w:rPr>
          <w:rFonts w:ascii="Tahoma" w:hAnsi="Tahoma" w:cs="Tahoma"/>
          <w:sz w:val="20"/>
          <w:szCs w:val="20"/>
        </w:rPr>
        <w:t>Imponer a la empresa INGENIERIA Y PROYECTOS ELECTROMECANICOS INTEGRALES S.A.C. sanción administrativa de inhabilitación temporal por el período de catorce (14) meses en sus derechos de participar en procesos de selección y contratar con el Estado, por la infracción tipificada en el literal i) del numeral 51.1 del artículo 51 de la Ley en concordancia en el literal i) del numeral 1 del artículo 237 del Reglamento, la cual entrará en vigencia a partir del sexto día hábil siguiente de su notificación.</w:t>
      </w:r>
    </w:p>
    <w:p w:rsidR="00404215" w:rsidRDefault="00404215" w:rsidP="00404215">
      <w:pPr>
        <w:pStyle w:val="NormalWeb"/>
        <w:spacing w:before="0" w:beforeAutospacing="0" w:after="0" w:afterAutospacing="0"/>
        <w:ind w:left="567"/>
        <w:jc w:val="both"/>
        <w:rPr>
          <w:rFonts w:ascii="Tahoma" w:hAnsi="Tahoma" w:cs="Tahoma"/>
          <w:sz w:val="20"/>
          <w:szCs w:val="20"/>
        </w:rPr>
      </w:pPr>
    </w:p>
    <w:p w:rsidR="00674BC9" w:rsidRDefault="00404215" w:rsidP="00404215">
      <w:pPr>
        <w:pStyle w:val="NormalWeb"/>
        <w:numPr>
          <w:ilvl w:val="0"/>
          <w:numId w:val="9"/>
        </w:numPr>
        <w:tabs>
          <w:tab w:val="clear" w:pos="1068"/>
          <w:tab w:val="num" w:pos="567"/>
        </w:tabs>
        <w:spacing w:before="0" w:beforeAutospacing="0" w:after="0" w:afterAutospacing="0"/>
        <w:ind w:left="567" w:hanging="567"/>
        <w:jc w:val="both"/>
        <w:rPr>
          <w:rFonts w:ascii="Tahoma" w:hAnsi="Tahoma" w:cs="Tahoma"/>
          <w:sz w:val="20"/>
          <w:szCs w:val="20"/>
        </w:rPr>
      </w:pPr>
      <w:r w:rsidRPr="00404215">
        <w:rPr>
          <w:rFonts w:ascii="Tahoma" w:hAnsi="Tahoma" w:cs="Tahoma"/>
          <w:sz w:val="20"/>
          <w:szCs w:val="20"/>
        </w:rPr>
        <w:t>Declarar no ha lugar la imposición de sanción administrativa contra la empresa INGENIERIA Y PROYECTOS ELECTROMECANICOS INTEGRALES S.A.C., por la comisión de la infracción tipificada en literal a) del numeral 51.1 del artículo 51 de la Ley en concordancia con el literal a) numeral 1 del artículo 237 del Reglamento, por los fundamentos expuestos, por lo que se deberá archivar definitivamente el presente expediente.</w:t>
      </w:r>
    </w:p>
    <w:p w:rsidR="00404215" w:rsidRDefault="00404215" w:rsidP="00404215">
      <w:pPr>
        <w:pStyle w:val="Prrafodelista"/>
        <w:rPr>
          <w:rFonts w:ascii="Tahoma" w:hAnsi="Tahoma" w:cs="Tahoma"/>
          <w:sz w:val="20"/>
          <w:szCs w:val="20"/>
        </w:rPr>
      </w:pPr>
    </w:p>
    <w:p w:rsidR="00674BC9" w:rsidRPr="00674BC9" w:rsidRDefault="00674BC9" w:rsidP="00674BC9">
      <w:pPr>
        <w:pStyle w:val="NormalWeb"/>
        <w:numPr>
          <w:ilvl w:val="0"/>
          <w:numId w:val="9"/>
        </w:numPr>
        <w:tabs>
          <w:tab w:val="clear" w:pos="1068"/>
          <w:tab w:val="num" w:pos="567"/>
        </w:tabs>
        <w:spacing w:before="0" w:beforeAutospacing="0" w:after="0" w:afterAutospacing="0"/>
        <w:ind w:left="567" w:hanging="567"/>
        <w:jc w:val="both"/>
        <w:rPr>
          <w:rFonts w:ascii="Tahoma" w:hAnsi="Tahoma" w:cs="Tahoma"/>
          <w:sz w:val="20"/>
          <w:szCs w:val="20"/>
        </w:rPr>
      </w:pPr>
      <w:r w:rsidRPr="00674BC9">
        <w:rPr>
          <w:rFonts w:ascii="Tahoma" w:hAnsi="Tahoma" w:cs="Tahoma"/>
          <w:sz w:val="20"/>
          <w:szCs w:val="20"/>
        </w:rPr>
        <w:t>Comunicar la presente Resolución a la Subdirección del Registro Nacional de Proveedores del Organismo Superior de Contrataciones del Estado (OSCE), para las anotaciones de Ley.</w:t>
      </w:r>
    </w:p>
    <w:p w:rsidR="00266B38" w:rsidRPr="00674BC9" w:rsidRDefault="00266B38" w:rsidP="006C0410">
      <w:pPr>
        <w:pStyle w:val="NormalWeb"/>
        <w:spacing w:before="0" w:beforeAutospacing="0" w:after="0" w:afterAutospacing="0"/>
        <w:ind w:left="567"/>
        <w:jc w:val="both"/>
        <w:rPr>
          <w:rFonts w:ascii="Tahoma" w:hAnsi="Tahoma" w:cs="Tahoma"/>
          <w:sz w:val="20"/>
          <w:szCs w:val="20"/>
        </w:rPr>
      </w:pPr>
    </w:p>
    <w:p w:rsidR="00F31A7A" w:rsidRPr="00674BC9" w:rsidRDefault="00F31A7A" w:rsidP="00F31A7A">
      <w:pPr>
        <w:pStyle w:val="Textoindependiente21"/>
        <w:ind w:firstLine="540"/>
        <w:rPr>
          <w:rFonts w:cs="Tahoma"/>
          <w:sz w:val="20"/>
        </w:rPr>
      </w:pPr>
      <w:r w:rsidRPr="00674BC9">
        <w:rPr>
          <w:rFonts w:cs="Tahoma"/>
          <w:sz w:val="20"/>
        </w:rPr>
        <w:t>Regístrese, comuníquese y publíquese.</w:t>
      </w:r>
    </w:p>
    <w:p w:rsidR="00F31A7A" w:rsidRPr="00674BC9" w:rsidRDefault="00F31A7A" w:rsidP="00F31A7A">
      <w:pPr>
        <w:ind w:left="720"/>
        <w:rPr>
          <w:rFonts w:ascii="Tahoma" w:hAnsi="Tahoma" w:cs="Tahoma"/>
          <w:b/>
          <w:bCs/>
          <w:shadow/>
          <w:sz w:val="20"/>
          <w:szCs w:val="20"/>
        </w:rPr>
      </w:pPr>
    </w:p>
    <w:p w:rsidR="00F31A7A" w:rsidRPr="00674BC9" w:rsidRDefault="00F31A7A" w:rsidP="00F31A7A">
      <w:pPr>
        <w:ind w:left="720"/>
        <w:rPr>
          <w:rFonts w:ascii="Tahoma" w:hAnsi="Tahoma" w:cs="Tahoma"/>
          <w:b/>
          <w:bCs/>
          <w:shadow/>
          <w:sz w:val="20"/>
          <w:szCs w:val="20"/>
        </w:rPr>
      </w:pPr>
    </w:p>
    <w:p w:rsidR="00190839" w:rsidRPr="00674BC9" w:rsidRDefault="00190839" w:rsidP="00F31A7A">
      <w:pPr>
        <w:ind w:left="720"/>
        <w:rPr>
          <w:rFonts w:ascii="Tahoma" w:hAnsi="Tahoma" w:cs="Tahoma"/>
          <w:b/>
          <w:bCs/>
          <w:shadow/>
          <w:sz w:val="20"/>
          <w:szCs w:val="20"/>
        </w:rPr>
      </w:pPr>
    </w:p>
    <w:p w:rsidR="006B4461" w:rsidRPr="00674BC9" w:rsidRDefault="006B4461" w:rsidP="00F31A7A">
      <w:pPr>
        <w:ind w:left="720"/>
        <w:rPr>
          <w:rFonts w:ascii="Tahoma" w:hAnsi="Tahoma" w:cs="Tahoma"/>
          <w:b/>
          <w:bCs/>
          <w:shadow/>
          <w:sz w:val="20"/>
          <w:szCs w:val="20"/>
        </w:rPr>
      </w:pPr>
    </w:p>
    <w:p w:rsidR="00F31A7A" w:rsidRPr="00674BC9" w:rsidRDefault="00F31A7A" w:rsidP="00F31A7A">
      <w:pPr>
        <w:jc w:val="center"/>
        <w:rPr>
          <w:rFonts w:ascii="Tahoma" w:hAnsi="Tahoma" w:cs="Tahoma"/>
          <w:b/>
          <w:bCs/>
          <w:shadow/>
          <w:sz w:val="20"/>
          <w:szCs w:val="20"/>
        </w:rPr>
      </w:pPr>
    </w:p>
    <w:p w:rsidR="00F31A7A" w:rsidRPr="00674BC9" w:rsidRDefault="00F31A7A" w:rsidP="00F31A7A">
      <w:pPr>
        <w:jc w:val="center"/>
        <w:rPr>
          <w:rFonts w:ascii="Tahoma" w:hAnsi="Tahoma" w:cs="Tahoma"/>
          <w:b/>
          <w:bCs/>
          <w:shadow/>
          <w:sz w:val="20"/>
          <w:szCs w:val="20"/>
        </w:rPr>
      </w:pPr>
      <w:r w:rsidRPr="00674BC9">
        <w:rPr>
          <w:rFonts w:ascii="Tahoma" w:hAnsi="Tahoma" w:cs="Tahoma"/>
          <w:b/>
          <w:bCs/>
          <w:shadow/>
          <w:sz w:val="20"/>
          <w:szCs w:val="20"/>
        </w:rPr>
        <w:t>PRESIDENTE</w:t>
      </w:r>
    </w:p>
    <w:p w:rsidR="00F31A7A" w:rsidRPr="00674BC9" w:rsidRDefault="00F31A7A" w:rsidP="00F31A7A">
      <w:pPr>
        <w:jc w:val="center"/>
        <w:rPr>
          <w:rFonts w:ascii="Tahoma" w:hAnsi="Tahoma" w:cs="Tahoma"/>
          <w:b/>
          <w:bCs/>
          <w:shadow/>
          <w:sz w:val="20"/>
          <w:szCs w:val="20"/>
        </w:rPr>
      </w:pPr>
    </w:p>
    <w:p w:rsidR="00F31A7A" w:rsidRPr="00674BC9" w:rsidRDefault="00F31A7A" w:rsidP="00F31A7A">
      <w:pPr>
        <w:jc w:val="center"/>
        <w:rPr>
          <w:rFonts w:ascii="Tahoma" w:hAnsi="Tahoma" w:cs="Tahoma"/>
          <w:b/>
          <w:bCs/>
          <w:shadow/>
          <w:sz w:val="20"/>
          <w:szCs w:val="20"/>
        </w:rPr>
      </w:pPr>
    </w:p>
    <w:p w:rsidR="00F31A7A" w:rsidRPr="00674BC9" w:rsidRDefault="00F31A7A" w:rsidP="00F31A7A">
      <w:pPr>
        <w:jc w:val="center"/>
        <w:rPr>
          <w:rFonts w:ascii="Tahoma" w:hAnsi="Tahoma" w:cs="Tahoma"/>
          <w:b/>
          <w:bCs/>
          <w:shadow/>
          <w:sz w:val="20"/>
          <w:szCs w:val="20"/>
        </w:rPr>
      </w:pPr>
    </w:p>
    <w:p w:rsidR="00F31A7A" w:rsidRPr="00674BC9" w:rsidRDefault="00F31A7A" w:rsidP="00F31A7A">
      <w:pPr>
        <w:jc w:val="center"/>
        <w:rPr>
          <w:rFonts w:ascii="Tahoma" w:hAnsi="Tahoma" w:cs="Tahoma"/>
          <w:b/>
          <w:shadow/>
          <w:sz w:val="20"/>
          <w:szCs w:val="20"/>
        </w:rPr>
      </w:pPr>
      <w:r w:rsidRPr="00674BC9">
        <w:rPr>
          <w:rFonts w:ascii="Tahoma" w:hAnsi="Tahoma" w:cs="Tahoma"/>
          <w:b/>
          <w:shadow/>
          <w:sz w:val="20"/>
          <w:szCs w:val="20"/>
        </w:rPr>
        <w:t xml:space="preserve">VOCAL           </w:t>
      </w:r>
      <w:r w:rsidRPr="00674BC9">
        <w:rPr>
          <w:rFonts w:ascii="Tahoma" w:hAnsi="Tahoma" w:cs="Tahoma"/>
          <w:b/>
          <w:shadow/>
          <w:sz w:val="20"/>
          <w:szCs w:val="20"/>
        </w:rPr>
        <w:tab/>
      </w:r>
      <w:r w:rsidRPr="00674BC9">
        <w:rPr>
          <w:rFonts w:ascii="Tahoma" w:hAnsi="Tahoma" w:cs="Tahoma"/>
          <w:b/>
          <w:shadow/>
          <w:sz w:val="20"/>
          <w:szCs w:val="20"/>
        </w:rPr>
        <w:tab/>
        <w:t xml:space="preserve">                                                                VOCAL</w:t>
      </w:r>
    </w:p>
    <w:p w:rsidR="00F31A7A" w:rsidRPr="00674BC9" w:rsidRDefault="00F31A7A" w:rsidP="00F31A7A">
      <w:pPr>
        <w:jc w:val="center"/>
        <w:rPr>
          <w:rFonts w:ascii="Tahoma" w:hAnsi="Tahoma" w:cs="Tahoma"/>
          <w:shadow/>
          <w:sz w:val="20"/>
          <w:szCs w:val="20"/>
        </w:rPr>
      </w:pPr>
    </w:p>
    <w:p w:rsidR="00F31A7A" w:rsidRPr="00674BC9" w:rsidRDefault="00F31A7A" w:rsidP="00F31A7A">
      <w:pPr>
        <w:rPr>
          <w:rFonts w:ascii="Tahoma" w:hAnsi="Tahoma" w:cs="Tahoma"/>
          <w:shadow/>
          <w:sz w:val="20"/>
          <w:szCs w:val="20"/>
        </w:rPr>
      </w:pPr>
    </w:p>
    <w:p w:rsidR="00F31A7A" w:rsidRPr="00674BC9" w:rsidRDefault="00F31A7A" w:rsidP="00F31A7A">
      <w:pPr>
        <w:rPr>
          <w:rFonts w:ascii="Tahoma" w:hAnsi="Tahoma" w:cs="Tahoma"/>
          <w:shadow/>
          <w:sz w:val="20"/>
          <w:szCs w:val="20"/>
        </w:rPr>
      </w:pPr>
    </w:p>
    <w:p w:rsidR="00F31A7A" w:rsidRPr="00674BC9" w:rsidRDefault="00F31A7A" w:rsidP="00F31A7A">
      <w:pPr>
        <w:jc w:val="both"/>
        <w:rPr>
          <w:rFonts w:ascii="Tahoma" w:hAnsi="Tahoma" w:cs="Tahoma"/>
          <w:sz w:val="20"/>
          <w:szCs w:val="20"/>
        </w:rPr>
      </w:pPr>
      <w:r w:rsidRPr="00674BC9">
        <w:rPr>
          <w:rFonts w:ascii="Tahoma" w:hAnsi="Tahoma" w:cs="Tahoma"/>
          <w:sz w:val="20"/>
          <w:szCs w:val="20"/>
        </w:rPr>
        <w:t>ss.</w:t>
      </w:r>
    </w:p>
    <w:p w:rsidR="00BD396B" w:rsidRPr="00674BC9" w:rsidRDefault="00BD396B" w:rsidP="00BD396B">
      <w:pPr>
        <w:jc w:val="both"/>
        <w:rPr>
          <w:rFonts w:ascii="Tahoma" w:hAnsi="Tahoma" w:cs="Tahoma"/>
          <w:sz w:val="20"/>
          <w:szCs w:val="20"/>
        </w:rPr>
      </w:pPr>
      <w:r w:rsidRPr="00674BC9">
        <w:rPr>
          <w:rFonts w:ascii="Tahoma" w:hAnsi="Tahoma" w:cs="Tahoma"/>
          <w:sz w:val="20"/>
          <w:szCs w:val="20"/>
        </w:rPr>
        <w:t>Navas Rondón</w:t>
      </w:r>
    </w:p>
    <w:p w:rsidR="00BD396B" w:rsidRPr="00674BC9" w:rsidRDefault="00BD396B" w:rsidP="00BD396B">
      <w:pPr>
        <w:jc w:val="both"/>
        <w:rPr>
          <w:rFonts w:ascii="Tahoma" w:hAnsi="Tahoma" w:cs="Tahoma"/>
          <w:color w:val="000000"/>
          <w:sz w:val="20"/>
          <w:szCs w:val="20"/>
        </w:rPr>
      </w:pPr>
      <w:r w:rsidRPr="00674BC9">
        <w:rPr>
          <w:rFonts w:ascii="Tahoma" w:hAnsi="Tahoma" w:cs="Tahoma"/>
          <w:color w:val="000000"/>
          <w:sz w:val="20"/>
          <w:szCs w:val="20"/>
        </w:rPr>
        <w:t xml:space="preserve">Ramírez Maynetto </w:t>
      </w:r>
    </w:p>
    <w:p w:rsidR="00BD396B" w:rsidRPr="00674BC9" w:rsidRDefault="00BD396B" w:rsidP="00BD396B">
      <w:pPr>
        <w:jc w:val="both"/>
        <w:rPr>
          <w:rFonts w:ascii="Tahoma" w:hAnsi="Tahoma" w:cs="Tahoma"/>
          <w:sz w:val="20"/>
          <w:szCs w:val="20"/>
        </w:rPr>
      </w:pPr>
      <w:r w:rsidRPr="00674BC9">
        <w:rPr>
          <w:rFonts w:ascii="Tahoma" w:hAnsi="Tahoma" w:cs="Tahoma"/>
          <w:sz w:val="20"/>
          <w:szCs w:val="20"/>
        </w:rPr>
        <w:t>Basulto Liewald</w:t>
      </w:r>
    </w:p>
    <w:p w:rsidR="002C6D86" w:rsidRPr="00674BC9" w:rsidRDefault="00D66190" w:rsidP="00BD396B">
      <w:pPr>
        <w:jc w:val="both"/>
        <w:rPr>
          <w:rFonts w:ascii="Tahoma" w:hAnsi="Tahoma" w:cs="Tahoma"/>
          <w:sz w:val="20"/>
          <w:szCs w:val="20"/>
        </w:rPr>
      </w:pPr>
    </w:p>
    <w:sectPr w:rsidR="002C6D86" w:rsidRPr="00674BC9" w:rsidSect="0038791B">
      <w:headerReference w:type="default" r:id="rId8"/>
      <w:footerReference w:type="default" r:id="rId9"/>
      <w:pgSz w:w="11906" w:h="16838"/>
      <w:pgMar w:top="3686"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190" w:rsidRDefault="00D66190" w:rsidP="00F31A7A">
      <w:r>
        <w:separator/>
      </w:r>
    </w:p>
  </w:endnote>
  <w:endnote w:type="continuationSeparator" w:id="1">
    <w:p w:rsidR="00D66190" w:rsidRDefault="00D66190" w:rsidP="00F31A7A">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rial-BoldMT">
    <w:panose1 w:val="00000000000000000000"/>
    <w:charset w:val="00"/>
    <w:family w:val="auto"/>
    <w:notTrueType/>
    <w:pitch w:val="default"/>
    <w:sig w:usb0="00000003" w:usb1="00000000" w:usb2="00000000" w:usb3="00000000" w:csb0="00000001" w:csb1="00000000"/>
  </w:font>
  <w:font w:name="ArialMT">
    <w:panose1 w:val="00000000000000000000"/>
    <w:charset w:val="00"/>
    <w:family w:val="auto"/>
    <w:notTrueType/>
    <w:pitch w:val="default"/>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4BB8" w:rsidRPr="00D64584" w:rsidRDefault="00AD7110" w:rsidP="00D64584">
    <w:pPr>
      <w:pStyle w:val="Piedepgina"/>
      <w:jc w:val="center"/>
      <w:rPr>
        <w:i/>
        <w:sz w:val="20"/>
        <w:szCs w:val="20"/>
      </w:rPr>
    </w:pPr>
    <w:r w:rsidRPr="00D64584">
      <w:rPr>
        <w:i/>
        <w:sz w:val="20"/>
        <w:szCs w:val="20"/>
      </w:rPr>
      <w:t xml:space="preserve">Página </w:t>
    </w:r>
    <w:r w:rsidR="00A77769" w:rsidRPr="00D64584">
      <w:rPr>
        <w:i/>
        <w:sz w:val="20"/>
        <w:szCs w:val="20"/>
      </w:rPr>
      <w:fldChar w:fldCharType="begin"/>
    </w:r>
    <w:r w:rsidRPr="00D64584">
      <w:rPr>
        <w:i/>
        <w:sz w:val="20"/>
        <w:szCs w:val="20"/>
      </w:rPr>
      <w:instrText xml:space="preserve"> PAGE </w:instrText>
    </w:r>
    <w:r w:rsidR="00A77769" w:rsidRPr="00D64584">
      <w:rPr>
        <w:i/>
        <w:sz w:val="20"/>
        <w:szCs w:val="20"/>
      </w:rPr>
      <w:fldChar w:fldCharType="separate"/>
    </w:r>
    <w:r w:rsidR="006E5A1C">
      <w:rPr>
        <w:i/>
        <w:noProof/>
        <w:sz w:val="20"/>
        <w:szCs w:val="20"/>
      </w:rPr>
      <w:t>1</w:t>
    </w:r>
    <w:r w:rsidR="00A77769" w:rsidRPr="00D64584">
      <w:rPr>
        <w:i/>
        <w:sz w:val="20"/>
        <w:szCs w:val="20"/>
      </w:rPr>
      <w:fldChar w:fldCharType="end"/>
    </w:r>
    <w:r w:rsidRPr="00D64584">
      <w:rPr>
        <w:i/>
        <w:sz w:val="20"/>
        <w:szCs w:val="20"/>
      </w:rPr>
      <w:t xml:space="preserve"> de </w:t>
    </w:r>
    <w:r w:rsidR="00A77769" w:rsidRPr="00D64584">
      <w:rPr>
        <w:i/>
        <w:sz w:val="20"/>
        <w:szCs w:val="20"/>
      </w:rPr>
      <w:fldChar w:fldCharType="begin"/>
    </w:r>
    <w:r w:rsidRPr="00D64584">
      <w:rPr>
        <w:i/>
        <w:sz w:val="20"/>
        <w:szCs w:val="20"/>
      </w:rPr>
      <w:instrText xml:space="preserve"> NUMPAGES </w:instrText>
    </w:r>
    <w:r w:rsidR="00A77769" w:rsidRPr="00D64584">
      <w:rPr>
        <w:i/>
        <w:sz w:val="20"/>
        <w:szCs w:val="20"/>
      </w:rPr>
      <w:fldChar w:fldCharType="separate"/>
    </w:r>
    <w:r w:rsidR="006E5A1C">
      <w:rPr>
        <w:i/>
        <w:noProof/>
        <w:sz w:val="20"/>
        <w:szCs w:val="20"/>
      </w:rPr>
      <w:t>13</w:t>
    </w:r>
    <w:r w:rsidR="00A77769" w:rsidRPr="00D64584">
      <w:rPr>
        <w:i/>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190" w:rsidRDefault="00D66190" w:rsidP="00F31A7A">
      <w:r>
        <w:separator/>
      </w:r>
    </w:p>
  </w:footnote>
  <w:footnote w:type="continuationSeparator" w:id="1">
    <w:p w:rsidR="00D66190" w:rsidRDefault="00D66190" w:rsidP="00F31A7A">
      <w:r>
        <w:continuationSeparator/>
      </w:r>
    </w:p>
  </w:footnote>
  <w:footnote w:id="2">
    <w:p w:rsidR="00674BC9" w:rsidRPr="007C6B0C" w:rsidRDefault="00674BC9" w:rsidP="00674BC9">
      <w:pPr>
        <w:pStyle w:val="Sinespaciado"/>
        <w:jc w:val="both"/>
        <w:rPr>
          <w:rFonts w:ascii="Tahoma" w:hAnsi="Tahoma" w:cs="Tahoma"/>
          <w:sz w:val="16"/>
          <w:szCs w:val="16"/>
        </w:rPr>
      </w:pPr>
      <w:r w:rsidRPr="007C6B0C">
        <w:rPr>
          <w:rStyle w:val="Refdenotaalpie"/>
          <w:sz w:val="16"/>
          <w:szCs w:val="16"/>
        </w:rPr>
        <w:footnoteRef/>
      </w:r>
      <w:r w:rsidRPr="007C6B0C">
        <w:rPr>
          <w:sz w:val="16"/>
          <w:szCs w:val="16"/>
        </w:rPr>
        <w:t xml:space="preserve"> </w:t>
      </w:r>
      <w:r w:rsidRPr="007C6B0C">
        <w:rPr>
          <w:rFonts w:ascii="Tahoma" w:hAnsi="Tahoma" w:cs="Tahoma"/>
          <w:b/>
          <w:bCs/>
          <w:sz w:val="16"/>
          <w:szCs w:val="16"/>
        </w:rPr>
        <w:t>Artículo 237.- Infracciones y sanciones administrativas</w:t>
      </w:r>
    </w:p>
    <w:p w:rsidR="00674BC9" w:rsidRPr="007C6B0C" w:rsidRDefault="00674BC9" w:rsidP="00674BC9">
      <w:pPr>
        <w:pStyle w:val="Sinespaciado"/>
        <w:jc w:val="both"/>
        <w:rPr>
          <w:rFonts w:ascii="Tahoma" w:hAnsi="Tahoma" w:cs="Tahoma"/>
          <w:sz w:val="16"/>
          <w:szCs w:val="16"/>
        </w:rPr>
      </w:pPr>
      <w:r w:rsidRPr="007C6B0C">
        <w:rPr>
          <w:rFonts w:ascii="Tahoma" w:hAnsi="Tahoma" w:cs="Tahoma"/>
          <w:sz w:val="16"/>
          <w:szCs w:val="16"/>
        </w:rPr>
        <w:t>1. Infracciones</w:t>
      </w:r>
    </w:p>
    <w:p w:rsidR="00674BC9" w:rsidRPr="007C6B0C" w:rsidRDefault="00674BC9" w:rsidP="00674BC9">
      <w:pPr>
        <w:pStyle w:val="Sinespaciado"/>
        <w:jc w:val="both"/>
        <w:rPr>
          <w:rFonts w:ascii="Tahoma" w:hAnsi="Tahoma" w:cs="Tahoma"/>
          <w:sz w:val="16"/>
          <w:szCs w:val="16"/>
        </w:rPr>
      </w:pPr>
      <w:r w:rsidRPr="007C6B0C">
        <w:rPr>
          <w:rFonts w:ascii="Tahoma" w:hAnsi="Tahoma" w:cs="Tahoma"/>
          <w:sz w:val="16"/>
          <w:szCs w:val="16"/>
        </w:rPr>
        <w:t xml:space="preserve">Se impondrá sanción administrativa a los proveedores, participantes, postores y/o contratistas que: </w:t>
      </w:r>
    </w:p>
    <w:p w:rsidR="00674BC9" w:rsidRDefault="00674BC9" w:rsidP="00674BC9">
      <w:pPr>
        <w:pStyle w:val="Textonotapie"/>
        <w:tabs>
          <w:tab w:val="left" w:pos="284"/>
        </w:tabs>
        <w:ind w:left="284" w:hanging="284"/>
        <w:jc w:val="both"/>
      </w:pPr>
      <w:r w:rsidRPr="007C6B0C">
        <w:rPr>
          <w:rFonts w:ascii="Tahoma" w:hAnsi="Tahoma" w:cs="Tahoma"/>
          <w:sz w:val="16"/>
          <w:szCs w:val="16"/>
        </w:rPr>
        <w:t>a)</w:t>
      </w:r>
      <w:r w:rsidRPr="007C6B0C">
        <w:rPr>
          <w:sz w:val="16"/>
          <w:szCs w:val="16"/>
          <w:lang w:val="es-PE"/>
        </w:rPr>
        <w:tab/>
        <w:t>(…), de resultar ganadores hasta la suscripción del contrato, (…)</w:t>
      </w:r>
    </w:p>
  </w:footnote>
  <w:footnote w:id="3">
    <w:p w:rsidR="00674BC9" w:rsidRPr="00CA10D0" w:rsidRDefault="00674BC9" w:rsidP="00674BC9">
      <w:pPr>
        <w:jc w:val="both"/>
        <w:rPr>
          <w:rFonts w:ascii="Tahoma" w:hAnsi="Tahoma" w:cs="Tahoma"/>
          <w:b/>
          <w:sz w:val="16"/>
          <w:szCs w:val="16"/>
        </w:rPr>
      </w:pPr>
      <w:r w:rsidRPr="00CA10D0">
        <w:rPr>
          <w:rStyle w:val="Refdenotaalpie"/>
          <w:rFonts w:ascii="Tahoma" w:hAnsi="Tahoma" w:cs="Tahoma"/>
          <w:sz w:val="16"/>
          <w:szCs w:val="16"/>
        </w:rPr>
        <w:footnoteRef/>
      </w:r>
      <w:r w:rsidRPr="00CA10D0">
        <w:rPr>
          <w:rFonts w:ascii="Tahoma" w:hAnsi="Tahoma" w:cs="Tahoma"/>
          <w:sz w:val="16"/>
          <w:szCs w:val="16"/>
        </w:rPr>
        <w:t xml:space="preserve"> </w:t>
      </w:r>
      <w:r w:rsidRPr="00CA10D0">
        <w:rPr>
          <w:rFonts w:ascii="Tahoma" w:hAnsi="Tahoma" w:cs="Tahoma"/>
          <w:b/>
          <w:sz w:val="16"/>
          <w:szCs w:val="16"/>
        </w:rPr>
        <w:t>Artículo 77.- Consentimiento del otorgamiento de la Buena Pro</w:t>
      </w:r>
    </w:p>
    <w:p w:rsidR="00674BC9" w:rsidRPr="00A261D8" w:rsidRDefault="00674BC9" w:rsidP="00674BC9">
      <w:pPr>
        <w:pStyle w:val="Textonotapie"/>
        <w:jc w:val="both"/>
        <w:rPr>
          <w:rFonts w:ascii="Tahoma" w:hAnsi="Tahoma" w:cs="Tahoma"/>
          <w:sz w:val="18"/>
          <w:szCs w:val="18"/>
        </w:rPr>
      </w:pPr>
      <w:r w:rsidRPr="0033513C">
        <w:rPr>
          <w:rFonts w:ascii="Tahoma" w:hAnsi="Tahoma" w:cs="Tahoma"/>
          <w:sz w:val="16"/>
          <w:szCs w:val="16"/>
        </w:rPr>
        <w:t>Cuando se hayan presentado dos</w:t>
      </w:r>
      <w:r>
        <w:rPr>
          <w:rFonts w:ascii="Tahoma" w:hAnsi="Tahoma" w:cs="Tahoma"/>
          <w:sz w:val="16"/>
          <w:szCs w:val="16"/>
        </w:rPr>
        <w:t xml:space="preserve"> (2) </w:t>
      </w:r>
      <w:r w:rsidRPr="0033513C">
        <w:rPr>
          <w:rFonts w:ascii="Tahoma" w:hAnsi="Tahoma" w:cs="Tahoma"/>
          <w:sz w:val="16"/>
          <w:szCs w:val="16"/>
        </w:rPr>
        <w:t xml:space="preserve"> o más propuestas, el consentimiento de la buena p</w:t>
      </w:r>
      <w:r>
        <w:rPr>
          <w:rFonts w:ascii="Tahoma" w:hAnsi="Tahoma" w:cs="Tahoma"/>
          <w:sz w:val="16"/>
          <w:szCs w:val="16"/>
        </w:rPr>
        <w:t xml:space="preserve">ro se producirá </w:t>
      </w:r>
      <w:r w:rsidRPr="00B64196">
        <w:rPr>
          <w:rFonts w:ascii="Tahoma" w:hAnsi="Tahoma" w:cs="Tahoma"/>
          <w:sz w:val="16"/>
          <w:szCs w:val="16"/>
        </w:rPr>
        <w:t>a los ocho (8) días hábiles de la notificación de su otorgamiento</w:t>
      </w:r>
      <w:r w:rsidRPr="0033513C">
        <w:rPr>
          <w:rFonts w:ascii="Tahoma" w:hAnsi="Tahoma" w:cs="Tahoma"/>
          <w:sz w:val="16"/>
          <w:szCs w:val="16"/>
        </w:rPr>
        <w:t xml:space="preserve">, sin que los postores hayan ejercido el derecho de interponer el recurso de apelación. </w:t>
      </w:r>
      <w:r w:rsidRPr="00B64196">
        <w:rPr>
          <w:rFonts w:ascii="Tahoma" w:hAnsi="Tahoma" w:cs="Tahoma"/>
          <w:b/>
          <w:sz w:val="16"/>
          <w:szCs w:val="16"/>
        </w:rPr>
        <w:t>En el caso de Adjudicaciones Directas y de Adjudicaciones de Menor Cuantía, el plazo será de cinco (5) días hábiles</w:t>
      </w:r>
      <w:r>
        <w:rPr>
          <w:rFonts w:ascii="Tahoma" w:hAnsi="Tahoma" w:cs="Tahoma"/>
          <w:sz w:val="16"/>
          <w:szCs w:val="16"/>
        </w:rPr>
        <w:t xml:space="preserve"> </w:t>
      </w:r>
      <w:r w:rsidRPr="0033513C">
        <w:rPr>
          <w:rFonts w:ascii="Tahoma" w:hAnsi="Tahoma" w:cs="Tahoma"/>
          <w:sz w:val="16"/>
          <w:szCs w:val="16"/>
        </w:rPr>
        <w:t>[…]</w:t>
      </w:r>
    </w:p>
  </w:footnote>
  <w:footnote w:id="4">
    <w:p w:rsidR="00674BC9" w:rsidRPr="00B367DA" w:rsidRDefault="00674BC9" w:rsidP="00674BC9">
      <w:pPr>
        <w:pStyle w:val="Textonotapie"/>
        <w:jc w:val="both"/>
        <w:rPr>
          <w:rFonts w:ascii="Tahoma" w:hAnsi="Tahoma" w:cs="Tahoma"/>
          <w:sz w:val="16"/>
          <w:szCs w:val="16"/>
        </w:rPr>
      </w:pPr>
      <w:r w:rsidRPr="00B367DA">
        <w:rPr>
          <w:rStyle w:val="Refdenotaalpie"/>
          <w:rFonts w:ascii="Tahoma" w:hAnsi="Tahoma" w:cs="Tahoma"/>
          <w:b/>
          <w:sz w:val="18"/>
          <w:szCs w:val="18"/>
        </w:rPr>
        <w:footnoteRef/>
      </w:r>
      <w:r w:rsidRPr="00B367DA">
        <w:rPr>
          <w:rFonts w:ascii="Tahoma" w:hAnsi="Tahoma" w:cs="Tahoma"/>
          <w:sz w:val="16"/>
          <w:szCs w:val="16"/>
        </w:rPr>
        <w:t xml:space="preserve"> “</w:t>
      </w:r>
      <w:r>
        <w:rPr>
          <w:rFonts w:ascii="Tahoma" w:hAnsi="Tahoma" w:cs="Tahoma"/>
          <w:b/>
          <w:sz w:val="16"/>
          <w:szCs w:val="16"/>
        </w:rPr>
        <w:t>Artículo 237</w:t>
      </w:r>
      <w:r w:rsidRPr="00B367DA">
        <w:rPr>
          <w:rFonts w:ascii="Tahoma" w:hAnsi="Tahoma" w:cs="Tahoma"/>
          <w:b/>
          <w:sz w:val="16"/>
          <w:szCs w:val="16"/>
        </w:rPr>
        <w:t xml:space="preserve">.- </w:t>
      </w:r>
      <w:r>
        <w:rPr>
          <w:rFonts w:ascii="Tahoma" w:hAnsi="Tahoma" w:cs="Tahoma"/>
          <w:b/>
          <w:sz w:val="16"/>
          <w:szCs w:val="16"/>
        </w:rPr>
        <w:t>Infracciones y sanciones administrativas</w:t>
      </w:r>
      <w:r w:rsidRPr="00B367DA">
        <w:rPr>
          <w:rFonts w:ascii="Tahoma" w:hAnsi="Tahoma" w:cs="Tahoma"/>
          <w:b/>
          <w:sz w:val="16"/>
          <w:szCs w:val="16"/>
        </w:rPr>
        <w:t>.-</w:t>
      </w:r>
      <w:r>
        <w:rPr>
          <w:rFonts w:ascii="Tahoma" w:hAnsi="Tahoma" w:cs="Tahoma"/>
          <w:b/>
          <w:sz w:val="16"/>
          <w:szCs w:val="16"/>
        </w:rPr>
        <w:t xml:space="preserve"> 1. Infracciones</w:t>
      </w:r>
      <w:r w:rsidRPr="00B367DA">
        <w:rPr>
          <w:rFonts w:ascii="Tahoma" w:hAnsi="Tahoma" w:cs="Tahoma"/>
          <w:sz w:val="16"/>
          <w:szCs w:val="16"/>
        </w:rPr>
        <w:t xml:space="preserve"> </w:t>
      </w:r>
      <w:r>
        <w:rPr>
          <w:rFonts w:ascii="Tahoma" w:hAnsi="Tahoma" w:cs="Tahoma"/>
          <w:sz w:val="16"/>
          <w:szCs w:val="16"/>
        </w:rPr>
        <w:t>se impondrá</w:t>
      </w:r>
      <w:r w:rsidRPr="00B367DA">
        <w:rPr>
          <w:rFonts w:ascii="Tahoma" w:hAnsi="Tahoma" w:cs="Tahoma"/>
          <w:sz w:val="16"/>
          <w:szCs w:val="16"/>
        </w:rPr>
        <w:t xml:space="preserve"> sanción administrativa a los proveedores, postores y/o contratistas que:</w:t>
      </w:r>
    </w:p>
    <w:p w:rsidR="00674BC9" w:rsidRPr="00B367DA" w:rsidRDefault="00674BC9" w:rsidP="00674BC9">
      <w:pPr>
        <w:pStyle w:val="Textonotapie"/>
        <w:jc w:val="both"/>
        <w:rPr>
          <w:rFonts w:ascii="Tahoma" w:hAnsi="Tahoma" w:cs="Tahoma"/>
          <w:sz w:val="16"/>
          <w:szCs w:val="16"/>
        </w:rPr>
      </w:pPr>
    </w:p>
    <w:p w:rsidR="00674BC9" w:rsidRPr="00B367DA" w:rsidRDefault="00674BC9" w:rsidP="00674BC9">
      <w:pPr>
        <w:pStyle w:val="Textonotapie"/>
        <w:jc w:val="both"/>
        <w:rPr>
          <w:rFonts w:ascii="Tahoma" w:hAnsi="Tahoma" w:cs="Tahoma"/>
          <w:sz w:val="16"/>
          <w:szCs w:val="16"/>
        </w:rPr>
      </w:pPr>
      <w:r>
        <w:rPr>
          <w:rFonts w:ascii="Tahoma" w:hAnsi="Tahoma" w:cs="Tahoma"/>
          <w:sz w:val="16"/>
          <w:szCs w:val="16"/>
        </w:rPr>
        <w:t>(…) i</w:t>
      </w:r>
      <w:r w:rsidRPr="00B367DA">
        <w:rPr>
          <w:rFonts w:ascii="Tahoma" w:hAnsi="Tahoma" w:cs="Tahoma"/>
          <w:sz w:val="16"/>
          <w:szCs w:val="16"/>
        </w:rPr>
        <w:t>) Presenten documentos falsos o</w:t>
      </w:r>
      <w:r>
        <w:rPr>
          <w:rFonts w:ascii="Tahoma" w:hAnsi="Tahoma" w:cs="Tahoma"/>
          <w:sz w:val="16"/>
          <w:szCs w:val="16"/>
        </w:rPr>
        <w:t xml:space="preserve"> información inexacta</w:t>
      </w:r>
      <w:r w:rsidRPr="00B367DA">
        <w:rPr>
          <w:rFonts w:ascii="Tahoma" w:hAnsi="Tahoma" w:cs="Tahoma"/>
          <w:sz w:val="16"/>
          <w:szCs w:val="16"/>
        </w:rPr>
        <w:t xml:space="preserve"> a las Entidades o al </w:t>
      </w:r>
      <w:r>
        <w:rPr>
          <w:rFonts w:ascii="Tahoma" w:hAnsi="Tahoma" w:cs="Tahoma"/>
          <w:sz w:val="16"/>
          <w:szCs w:val="16"/>
        </w:rPr>
        <w:t>Tribunal del OSCE</w:t>
      </w:r>
      <w:r w:rsidRPr="00B367DA">
        <w:rPr>
          <w:rFonts w:ascii="Tahoma" w:hAnsi="Tahoma" w:cs="Tahoma"/>
          <w:sz w:val="16"/>
          <w:szCs w:val="16"/>
        </w:rPr>
        <w:t>(…)”</w:t>
      </w:r>
    </w:p>
    <w:p w:rsidR="00674BC9" w:rsidRPr="00B367DA" w:rsidRDefault="00674BC9" w:rsidP="00674BC9">
      <w:pPr>
        <w:pStyle w:val="Textonotapie"/>
        <w:jc w:val="both"/>
        <w:rPr>
          <w:rFonts w:ascii="Tahoma" w:hAnsi="Tahoma" w:cs="Tahoma"/>
          <w:sz w:val="16"/>
          <w:szCs w:val="16"/>
        </w:rPr>
      </w:pPr>
    </w:p>
  </w:footnote>
  <w:footnote w:id="5">
    <w:p w:rsidR="00674BC9" w:rsidRPr="00C42904" w:rsidRDefault="00674BC9" w:rsidP="00674BC9">
      <w:pPr>
        <w:pStyle w:val="Textonotapie"/>
        <w:jc w:val="both"/>
        <w:rPr>
          <w:sz w:val="16"/>
          <w:szCs w:val="16"/>
        </w:rPr>
      </w:pPr>
      <w:r w:rsidRPr="00C42904">
        <w:rPr>
          <w:rStyle w:val="Refdenotaalpie"/>
          <w:sz w:val="16"/>
          <w:szCs w:val="16"/>
        </w:rPr>
        <w:footnoteRef/>
      </w:r>
      <w:r w:rsidRPr="00C42904">
        <w:rPr>
          <w:sz w:val="16"/>
          <w:szCs w:val="16"/>
        </w:rPr>
        <w:t xml:space="preserve"> </w:t>
      </w:r>
      <w:r w:rsidRPr="00C42904">
        <w:rPr>
          <w:b/>
          <w:sz w:val="16"/>
          <w:szCs w:val="16"/>
        </w:rPr>
        <w:t>El Principio de Presunción de Veracidad</w:t>
      </w:r>
      <w:r w:rsidRPr="00C42904">
        <w:rPr>
          <w:sz w:val="16"/>
          <w:szCs w:val="16"/>
        </w:rPr>
        <w:t xml:space="preserve"> consiste en </w:t>
      </w:r>
      <w:r w:rsidRPr="00C42904">
        <w:rPr>
          <w:i/>
          <w:sz w:val="16"/>
          <w:szCs w:val="16"/>
        </w:rPr>
        <w:t>“el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w:t>
      </w:r>
      <w:r w:rsidRPr="00C42904">
        <w:rPr>
          <w:sz w:val="16"/>
          <w:szCs w:val="16"/>
        </w:rPr>
        <w:t xml:space="preserve"> MORÓN URBINA, Juan Carlos. </w:t>
      </w:r>
      <w:r w:rsidRPr="00C42904">
        <w:rPr>
          <w:b/>
          <w:sz w:val="16"/>
          <w:szCs w:val="16"/>
        </w:rPr>
        <w:t>Comentarios a la Ley del Procedimiento Administrativo General</w:t>
      </w:r>
      <w:r w:rsidRPr="00C42904">
        <w:rPr>
          <w:sz w:val="16"/>
          <w:szCs w:val="16"/>
        </w:rPr>
        <w:t>. Cuarta Edición. Lima: Gaceta Jurídica, 2005; pp. 74 -75.</w:t>
      </w:r>
    </w:p>
    <w:p w:rsidR="00674BC9" w:rsidRPr="007A67C7" w:rsidRDefault="00674BC9" w:rsidP="00674BC9">
      <w:pPr>
        <w:pStyle w:val="Textonotapie"/>
        <w:jc w:val="both"/>
        <w:rPr>
          <w:rFonts w:ascii="Tahoma" w:hAnsi="Tahoma" w:cs="Tahoma"/>
          <w:sz w:val="16"/>
          <w:szCs w:val="16"/>
        </w:rPr>
      </w:pPr>
    </w:p>
  </w:footnote>
  <w:footnote w:id="6">
    <w:p w:rsidR="00674BC9" w:rsidRPr="00D75461" w:rsidRDefault="00674BC9" w:rsidP="00674BC9">
      <w:pPr>
        <w:pStyle w:val="Textonotapie"/>
        <w:jc w:val="both"/>
        <w:rPr>
          <w:i/>
          <w:sz w:val="18"/>
          <w:szCs w:val="18"/>
        </w:rPr>
      </w:pPr>
      <w:r w:rsidRPr="00D75461">
        <w:rPr>
          <w:rStyle w:val="Refdenotaalpie"/>
          <w:i/>
          <w:sz w:val="18"/>
          <w:szCs w:val="18"/>
        </w:rPr>
        <w:footnoteRef/>
      </w:r>
      <w:r w:rsidRPr="00D75461">
        <w:rPr>
          <w:i/>
          <w:sz w:val="18"/>
          <w:szCs w:val="18"/>
        </w:rPr>
        <w:t xml:space="preserve"> Literal a) numeral 1) del artículo 42 del Reglamento. </w:t>
      </w:r>
    </w:p>
    <w:p w:rsidR="00674BC9" w:rsidRPr="00D75461" w:rsidRDefault="00674BC9" w:rsidP="00674BC9">
      <w:pPr>
        <w:pStyle w:val="Textonotapie"/>
        <w:jc w:val="both"/>
        <w:rPr>
          <w:i/>
          <w:sz w:val="18"/>
          <w:szCs w:val="18"/>
        </w:rPr>
      </w:pPr>
    </w:p>
  </w:footnote>
  <w:footnote w:id="7">
    <w:p w:rsidR="00674BC9" w:rsidRPr="00D84124" w:rsidRDefault="00674BC9" w:rsidP="00674BC9">
      <w:pPr>
        <w:pStyle w:val="Textonotapie"/>
        <w:jc w:val="both"/>
        <w:rPr>
          <w:sz w:val="18"/>
          <w:szCs w:val="18"/>
        </w:rPr>
      </w:pPr>
      <w:r w:rsidRPr="00D84124">
        <w:rPr>
          <w:rStyle w:val="Refdenotaalpie"/>
          <w:sz w:val="18"/>
          <w:szCs w:val="18"/>
        </w:rPr>
        <w:footnoteRef/>
      </w:r>
      <w:r w:rsidRPr="00D84124">
        <w:rPr>
          <w:sz w:val="18"/>
          <w:szCs w:val="18"/>
        </w:rPr>
        <w:t xml:space="preserve"> Texto extraído de la Opinión № 005-2009/DOP del 29 de enero de 2009.</w:t>
      </w:r>
    </w:p>
  </w:footnote>
  <w:footnote w:id="8">
    <w:p w:rsidR="00674BC9" w:rsidRDefault="00674BC9" w:rsidP="00674BC9">
      <w:pPr>
        <w:pStyle w:val="Textonotapie"/>
      </w:pPr>
      <w:r w:rsidRPr="00D84124">
        <w:rPr>
          <w:rStyle w:val="Refdenotaalpie"/>
          <w:sz w:val="18"/>
          <w:szCs w:val="18"/>
        </w:rPr>
        <w:footnoteRef/>
      </w:r>
      <w:r w:rsidRPr="00D84124">
        <w:rPr>
          <w:sz w:val="18"/>
          <w:szCs w:val="18"/>
        </w:rPr>
        <w:t xml:space="preserve"> Documento obrante a folio 027 del expediente administrativo.</w:t>
      </w:r>
    </w:p>
  </w:footnote>
  <w:footnote w:id="9">
    <w:p w:rsidR="00674BC9" w:rsidRPr="00D84124" w:rsidRDefault="00674BC9" w:rsidP="00674BC9">
      <w:pPr>
        <w:pStyle w:val="Textonotapie"/>
        <w:jc w:val="both"/>
        <w:rPr>
          <w:sz w:val="18"/>
          <w:szCs w:val="18"/>
        </w:rPr>
      </w:pPr>
      <w:r w:rsidRPr="00D84124">
        <w:rPr>
          <w:rStyle w:val="Refdenotaalpie"/>
          <w:sz w:val="18"/>
          <w:szCs w:val="18"/>
        </w:rPr>
        <w:footnoteRef/>
      </w:r>
      <w:r w:rsidRPr="00D84124">
        <w:rPr>
          <w:sz w:val="18"/>
          <w:szCs w:val="18"/>
        </w:rPr>
        <w:t xml:space="preserve"> Documento obrante a folio 031 del expediente administrativo.</w:t>
      </w:r>
    </w:p>
  </w:footnote>
  <w:footnote w:id="10">
    <w:p w:rsidR="00674BC9" w:rsidRPr="00160AA8" w:rsidRDefault="00674BC9" w:rsidP="00674BC9">
      <w:pPr>
        <w:pStyle w:val="Textonotapie"/>
        <w:jc w:val="both"/>
        <w:rPr>
          <w:lang w:val="es-ES_tradnl"/>
        </w:rPr>
      </w:pPr>
      <w:r>
        <w:rPr>
          <w:rStyle w:val="Refdenotaalpie"/>
        </w:rPr>
        <w:footnoteRef/>
      </w:r>
      <w:r>
        <w:t xml:space="preserve"> </w:t>
      </w:r>
      <w:r w:rsidRPr="00160AA8">
        <w:t>Debiéndose mencionar que, los artículos 153 y 185 la Ley General de Sociedades, establecen que el Director así como los Gerentes forman parte de los órganos de administración de la sociedad.</w:t>
      </w:r>
    </w:p>
  </w:footnote>
  <w:footnote w:id="11">
    <w:p w:rsidR="00674BC9" w:rsidRDefault="00674BC9" w:rsidP="00674BC9">
      <w:pPr>
        <w:pStyle w:val="Textonotapie"/>
      </w:pPr>
      <w:r>
        <w:rPr>
          <w:rStyle w:val="Refdenotaalpie"/>
        </w:rPr>
        <w:footnoteRef/>
      </w:r>
      <w:r>
        <w:t xml:space="preserve"> Documentos obrantes a folio № 295 y 297 del expediente administrativo.</w:t>
      </w:r>
    </w:p>
  </w:footnote>
  <w:footnote w:id="12">
    <w:p w:rsidR="00674BC9" w:rsidRPr="006B1D02" w:rsidRDefault="00674BC9" w:rsidP="00674BC9">
      <w:pPr>
        <w:autoSpaceDE w:val="0"/>
        <w:autoSpaceDN w:val="0"/>
        <w:adjustRightInd w:val="0"/>
        <w:jc w:val="both"/>
        <w:rPr>
          <w:rFonts w:ascii="Arial-BoldMT" w:eastAsiaTheme="minorHAnsi" w:hAnsi="Arial-BoldMT" w:cs="Arial-BoldMT"/>
          <w:b/>
          <w:bCs/>
          <w:sz w:val="16"/>
          <w:szCs w:val="16"/>
          <w:lang w:eastAsia="en-US"/>
        </w:rPr>
      </w:pPr>
      <w:r w:rsidRPr="006B1D02">
        <w:rPr>
          <w:rStyle w:val="Refdenotaalpie"/>
          <w:sz w:val="16"/>
          <w:szCs w:val="16"/>
        </w:rPr>
        <w:footnoteRef/>
      </w:r>
      <w:r w:rsidRPr="006B1D02">
        <w:rPr>
          <w:sz w:val="16"/>
          <w:szCs w:val="16"/>
        </w:rPr>
        <w:t xml:space="preserve"> </w:t>
      </w:r>
      <w:r w:rsidRPr="006B1D02">
        <w:rPr>
          <w:rFonts w:ascii="Arial-BoldMT" w:eastAsiaTheme="minorHAnsi" w:hAnsi="Arial-BoldMT" w:cs="Arial-BoldMT"/>
          <w:b/>
          <w:bCs/>
          <w:sz w:val="16"/>
          <w:szCs w:val="16"/>
          <w:lang w:eastAsia="en-US"/>
        </w:rPr>
        <w:t>Artículo 31°</w:t>
      </w:r>
      <w:r w:rsidRPr="006B1D02">
        <w:rPr>
          <w:rFonts w:ascii="ArialMT" w:eastAsiaTheme="minorHAnsi" w:hAnsi="ArialMT" w:cs="ArialMT"/>
          <w:sz w:val="16"/>
          <w:szCs w:val="16"/>
          <w:lang w:eastAsia="en-US"/>
        </w:rPr>
        <w:t xml:space="preserve">.- </w:t>
      </w:r>
      <w:r w:rsidRPr="006B1D02">
        <w:rPr>
          <w:rFonts w:ascii="Arial-BoldMT" w:eastAsiaTheme="minorHAnsi" w:hAnsi="Arial-BoldMT" w:cs="Arial-BoldMT"/>
          <w:b/>
          <w:bCs/>
          <w:sz w:val="16"/>
          <w:szCs w:val="16"/>
          <w:lang w:eastAsia="en-US"/>
        </w:rPr>
        <w:t>Nombramientos y poderes</w:t>
      </w:r>
    </w:p>
    <w:p w:rsidR="00674BC9" w:rsidRPr="006B1D02" w:rsidRDefault="00674BC9" w:rsidP="00674BC9">
      <w:pPr>
        <w:autoSpaceDE w:val="0"/>
        <w:autoSpaceDN w:val="0"/>
        <w:adjustRightInd w:val="0"/>
        <w:jc w:val="both"/>
        <w:rPr>
          <w:rFonts w:ascii="ArialMT" w:eastAsiaTheme="minorHAnsi" w:hAnsi="ArialMT" w:cs="ArialMT"/>
          <w:sz w:val="16"/>
          <w:szCs w:val="16"/>
          <w:lang w:eastAsia="en-US"/>
        </w:rPr>
      </w:pPr>
      <w:r w:rsidRPr="006B1D02">
        <w:rPr>
          <w:rFonts w:ascii="ArialMT" w:eastAsiaTheme="minorHAnsi" w:hAnsi="ArialMT" w:cs="ArialMT"/>
          <w:sz w:val="16"/>
          <w:szCs w:val="16"/>
          <w:lang w:eastAsia="en-US"/>
        </w:rPr>
        <w:t>El nombramiento de gerentes, administradores, liquidadores y demás representantes de</w:t>
      </w:r>
      <w:r>
        <w:rPr>
          <w:rFonts w:ascii="ArialMT" w:eastAsiaTheme="minorHAnsi" w:hAnsi="ArialMT" w:cs="ArialMT"/>
          <w:sz w:val="16"/>
          <w:szCs w:val="16"/>
          <w:lang w:eastAsia="en-US"/>
        </w:rPr>
        <w:t xml:space="preserve"> </w:t>
      </w:r>
      <w:r w:rsidRPr="006B1D02">
        <w:rPr>
          <w:rFonts w:ascii="ArialMT" w:eastAsiaTheme="minorHAnsi" w:hAnsi="ArialMT" w:cs="ArialMT"/>
          <w:sz w:val="16"/>
          <w:szCs w:val="16"/>
          <w:lang w:eastAsia="en-US"/>
        </w:rPr>
        <w:t>sociedades y sucursales, su revocación, renuncia, modificación o sustitución, la declaración de</w:t>
      </w:r>
      <w:r>
        <w:rPr>
          <w:rFonts w:ascii="ArialMT" w:eastAsiaTheme="minorHAnsi" w:hAnsi="ArialMT" w:cs="ArialMT"/>
          <w:sz w:val="16"/>
          <w:szCs w:val="16"/>
          <w:lang w:eastAsia="en-US"/>
        </w:rPr>
        <w:t xml:space="preserve"> </w:t>
      </w:r>
      <w:r w:rsidRPr="006B1D02">
        <w:rPr>
          <w:rFonts w:ascii="ArialMT" w:eastAsiaTheme="minorHAnsi" w:hAnsi="ArialMT" w:cs="ArialMT"/>
          <w:sz w:val="16"/>
          <w:szCs w:val="16"/>
          <w:lang w:eastAsia="en-US"/>
        </w:rPr>
        <w:t>vacancia o de suspensión en el cargo; sus poderes y facultades, la ampliación o revocatoria de</w:t>
      </w:r>
      <w:r>
        <w:rPr>
          <w:rFonts w:ascii="ArialMT" w:eastAsiaTheme="minorHAnsi" w:hAnsi="ArialMT" w:cs="ArialMT"/>
          <w:sz w:val="16"/>
          <w:szCs w:val="16"/>
          <w:lang w:eastAsia="en-US"/>
        </w:rPr>
        <w:t xml:space="preserve"> </w:t>
      </w:r>
      <w:r w:rsidRPr="006B1D02">
        <w:rPr>
          <w:rFonts w:ascii="ArialMT" w:eastAsiaTheme="minorHAnsi" w:hAnsi="ArialMT" w:cs="ArialMT"/>
          <w:sz w:val="16"/>
          <w:szCs w:val="16"/>
          <w:lang w:eastAsia="en-US"/>
        </w:rPr>
        <w:t>los mismos, la sustitución, delegación y reasunción de éstos, se inscribirán en mérito del parte</w:t>
      </w:r>
      <w:r>
        <w:rPr>
          <w:rFonts w:ascii="ArialMT" w:eastAsiaTheme="minorHAnsi" w:hAnsi="ArialMT" w:cs="ArialMT"/>
          <w:sz w:val="16"/>
          <w:szCs w:val="16"/>
          <w:lang w:eastAsia="en-US"/>
        </w:rPr>
        <w:t xml:space="preserve"> </w:t>
      </w:r>
      <w:r w:rsidRPr="006B1D02">
        <w:rPr>
          <w:rFonts w:ascii="ArialMT" w:eastAsiaTheme="minorHAnsi" w:hAnsi="ArialMT" w:cs="ArialMT"/>
          <w:sz w:val="16"/>
          <w:szCs w:val="16"/>
          <w:lang w:eastAsia="en-US"/>
        </w:rPr>
        <w:t>notarial de la escritura pública o de la copia certificada notarial de la parte pertinente del acta</w:t>
      </w:r>
      <w:r>
        <w:rPr>
          <w:rFonts w:ascii="ArialMT" w:eastAsiaTheme="minorHAnsi" w:hAnsi="ArialMT" w:cs="ArialMT"/>
          <w:sz w:val="16"/>
          <w:szCs w:val="16"/>
          <w:lang w:eastAsia="en-US"/>
        </w:rPr>
        <w:t xml:space="preserve"> </w:t>
      </w:r>
      <w:r w:rsidRPr="006B1D02">
        <w:rPr>
          <w:rFonts w:ascii="ArialMT" w:eastAsiaTheme="minorHAnsi" w:hAnsi="ArialMT" w:cs="ArialMT"/>
          <w:sz w:val="16"/>
          <w:szCs w:val="16"/>
          <w:lang w:eastAsia="en-US"/>
        </w:rPr>
        <w:t>que contenga el acuerdo válidamente adoptado por el órgano social competente.</w:t>
      </w:r>
    </w:p>
    <w:p w:rsidR="00674BC9" w:rsidRPr="006B1D02" w:rsidRDefault="00674BC9" w:rsidP="00674BC9">
      <w:pPr>
        <w:autoSpaceDE w:val="0"/>
        <w:autoSpaceDN w:val="0"/>
        <w:adjustRightInd w:val="0"/>
        <w:jc w:val="both"/>
        <w:rPr>
          <w:rFonts w:ascii="ArialMT" w:eastAsiaTheme="minorHAnsi" w:hAnsi="ArialMT" w:cs="ArialMT"/>
          <w:sz w:val="16"/>
          <w:szCs w:val="16"/>
          <w:lang w:eastAsia="en-US"/>
        </w:rPr>
      </w:pPr>
      <w:r w:rsidRPr="006B1D02">
        <w:rPr>
          <w:rFonts w:ascii="ArialMT" w:eastAsiaTheme="minorHAnsi" w:hAnsi="ArialMT" w:cs="ArialMT"/>
          <w:sz w:val="16"/>
          <w:szCs w:val="16"/>
          <w:lang w:eastAsia="en-US"/>
        </w:rPr>
        <w:t>No se requiere acreditar la aceptación del cargo o del poder.</w:t>
      </w:r>
    </w:p>
    <w:p w:rsidR="00674BC9" w:rsidRDefault="00674BC9" w:rsidP="00674BC9">
      <w:pPr>
        <w:autoSpaceDE w:val="0"/>
        <w:autoSpaceDN w:val="0"/>
        <w:adjustRightInd w:val="0"/>
        <w:jc w:val="both"/>
      </w:pPr>
      <w:r w:rsidRPr="006B1D02">
        <w:rPr>
          <w:rFonts w:ascii="ArialMT" w:eastAsiaTheme="minorHAnsi" w:hAnsi="ArialMT" w:cs="ArialMT"/>
          <w:sz w:val="16"/>
          <w:szCs w:val="16"/>
          <w:lang w:eastAsia="en-US"/>
        </w:rPr>
        <w:t>En el asiento de inscripción de los actos a que se refiere este artículo, se consignará el nombre</w:t>
      </w:r>
      <w:r>
        <w:rPr>
          <w:rFonts w:ascii="ArialMT" w:eastAsiaTheme="minorHAnsi" w:hAnsi="ArialMT" w:cs="ArialMT"/>
          <w:sz w:val="16"/>
          <w:szCs w:val="16"/>
          <w:lang w:eastAsia="en-US"/>
        </w:rPr>
        <w:t xml:space="preserve"> </w:t>
      </w:r>
      <w:r w:rsidRPr="006B1D02">
        <w:rPr>
          <w:rFonts w:ascii="ArialMT" w:eastAsiaTheme="minorHAnsi" w:hAnsi="ArialMT" w:cs="ArialMT"/>
          <w:sz w:val="16"/>
          <w:szCs w:val="16"/>
          <w:lang w:eastAsia="en-US"/>
        </w:rPr>
        <w:t>completo del</w:t>
      </w:r>
    </w:p>
  </w:footnote>
  <w:footnote w:id="13">
    <w:p w:rsidR="00674BC9" w:rsidRPr="00F45A12" w:rsidRDefault="00674BC9" w:rsidP="00674BC9">
      <w:pPr>
        <w:pStyle w:val="Textonotapie"/>
        <w:rPr>
          <w:b/>
          <w:sz w:val="16"/>
          <w:szCs w:val="16"/>
          <w:lang w:val="es-ES_tradnl"/>
        </w:rPr>
      </w:pPr>
      <w:r w:rsidRPr="00F45A12">
        <w:rPr>
          <w:rStyle w:val="Refdenotaalpie"/>
          <w:sz w:val="16"/>
          <w:szCs w:val="16"/>
        </w:rPr>
        <w:footnoteRef/>
      </w:r>
      <w:r w:rsidRPr="00F45A12">
        <w:rPr>
          <w:b/>
          <w:sz w:val="16"/>
          <w:szCs w:val="16"/>
        </w:rPr>
        <w:t xml:space="preserve"> </w:t>
      </w:r>
      <w:r w:rsidRPr="00F45A12">
        <w:rPr>
          <w:b/>
          <w:sz w:val="16"/>
          <w:szCs w:val="16"/>
          <w:lang w:val="es-ES_tradnl"/>
        </w:rPr>
        <w:t>Artículo 245.- Determinación gradual de la sanción.-</w:t>
      </w:r>
    </w:p>
    <w:p w:rsidR="00674BC9" w:rsidRPr="00F45A12" w:rsidRDefault="00674BC9" w:rsidP="00674BC9">
      <w:pPr>
        <w:pStyle w:val="Textonotapie"/>
        <w:rPr>
          <w:sz w:val="16"/>
          <w:szCs w:val="16"/>
          <w:lang w:val="es-ES_tradnl"/>
        </w:rPr>
      </w:pPr>
      <w:r w:rsidRPr="00F45A12">
        <w:rPr>
          <w:sz w:val="16"/>
          <w:szCs w:val="16"/>
          <w:lang w:val="es-ES_tradnl"/>
        </w:rPr>
        <w:t>Para graduar la sanción de inhabilitación temporal a imponerse conforme a las disposiciones del presente Título, se considerarán los siguientes criterios:</w:t>
      </w:r>
    </w:p>
    <w:p w:rsidR="00674BC9" w:rsidRPr="00F45A12" w:rsidRDefault="00674BC9" w:rsidP="00674BC9">
      <w:pPr>
        <w:pStyle w:val="Textonotapie"/>
        <w:rPr>
          <w:sz w:val="16"/>
          <w:szCs w:val="16"/>
          <w:lang w:val="es-ES_tradnl"/>
        </w:rPr>
      </w:pPr>
      <w:r w:rsidRPr="00F45A12">
        <w:rPr>
          <w:sz w:val="16"/>
          <w:szCs w:val="16"/>
          <w:lang w:val="es-ES_tradnl"/>
        </w:rPr>
        <w:t>1) Naturaleza de la infracción.</w:t>
      </w:r>
    </w:p>
    <w:p w:rsidR="00674BC9" w:rsidRPr="00F45A12" w:rsidRDefault="00674BC9" w:rsidP="00674BC9">
      <w:pPr>
        <w:pStyle w:val="Textonotapie"/>
        <w:rPr>
          <w:sz w:val="16"/>
          <w:szCs w:val="16"/>
          <w:lang w:val="es-ES_tradnl"/>
        </w:rPr>
      </w:pPr>
      <w:r w:rsidRPr="00F45A12">
        <w:rPr>
          <w:sz w:val="16"/>
          <w:szCs w:val="16"/>
          <w:lang w:val="es-ES_tradnl"/>
        </w:rPr>
        <w:t>2) Intencionalidad del infractor.</w:t>
      </w:r>
    </w:p>
    <w:p w:rsidR="00674BC9" w:rsidRPr="00F45A12" w:rsidRDefault="00674BC9" w:rsidP="00674BC9">
      <w:pPr>
        <w:pStyle w:val="Textonotapie"/>
        <w:rPr>
          <w:sz w:val="16"/>
          <w:szCs w:val="16"/>
          <w:lang w:val="es-ES_tradnl"/>
        </w:rPr>
      </w:pPr>
      <w:r w:rsidRPr="00F45A12">
        <w:rPr>
          <w:sz w:val="16"/>
          <w:szCs w:val="16"/>
          <w:lang w:val="es-ES_tradnl"/>
        </w:rPr>
        <w:t>3) Daño causado.</w:t>
      </w:r>
    </w:p>
    <w:p w:rsidR="00674BC9" w:rsidRPr="00F45A12" w:rsidRDefault="00674BC9" w:rsidP="00674BC9">
      <w:pPr>
        <w:pStyle w:val="Textonotapie"/>
        <w:rPr>
          <w:sz w:val="16"/>
          <w:szCs w:val="16"/>
          <w:lang w:val="es-ES_tradnl"/>
        </w:rPr>
      </w:pPr>
      <w:r w:rsidRPr="00F45A12">
        <w:rPr>
          <w:sz w:val="16"/>
          <w:szCs w:val="16"/>
          <w:lang w:val="es-ES_tradnl"/>
        </w:rPr>
        <w:t>4) Reiterancia</w:t>
      </w:r>
    </w:p>
    <w:p w:rsidR="00674BC9" w:rsidRPr="00F45A12" w:rsidRDefault="00674BC9" w:rsidP="00674BC9">
      <w:pPr>
        <w:pStyle w:val="Textonotapie"/>
        <w:rPr>
          <w:sz w:val="16"/>
          <w:szCs w:val="16"/>
          <w:lang w:val="es-ES_tradnl"/>
        </w:rPr>
      </w:pPr>
      <w:r w:rsidRPr="00F45A12">
        <w:rPr>
          <w:sz w:val="16"/>
          <w:szCs w:val="16"/>
          <w:lang w:val="es-ES_tradnl"/>
        </w:rPr>
        <w:t>5) El reconocimiento de la infracción cometida antes de que sea detectada.</w:t>
      </w:r>
    </w:p>
    <w:p w:rsidR="00674BC9" w:rsidRPr="00F45A12" w:rsidRDefault="00674BC9" w:rsidP="00674BC9">
      <w:pPr>
        <w:pStyle w:val="Textonotapie"/>
        <w:rPr>
          <w:sz w:val="16"/>
          <w:szCs w:val="16"/>
          <w:lang w:val="es-ES_tradnl"/>
        </w:rPr>
      </w:pPr>
      <w:r w:rsidRPr="00F45A12">
        <w:rPr>
          <w:sz w:val="16"/>
          <w:szCs w:val="16"/>
          <w:lang w:val="es-ES_tradnl"/>
        </w:rPr>
        <w:t>6) Circunstancias de tiempo, lugar y modo.</w:t>
      </w:r>
    </w:p>
    <w:p w:rsidR="00674BC9" w:rsidRPr="00F45A12" w:rsidRDefault="00674BC9" w:rsidP="00674BC9">
      <w:pPr>
        <w:pStyle w:val="Textonotapie"/>
        <w:rPr>
          <w:sz w:val="16"/>
          <w:szCs w:val="16"/>
          <w:lang w:val="es-ES_tradnl"/>
        </w:rPr>
      </w:pPr>
      <w:r w:rsidRPr="00F45A12">
        <w:rPr>
          <w:sz w:val="16"/>
          <w:szCs w:val="16"/>
          <w:lang w:val="es-ES_tradnl"/>
        </w:rPr>
        <w:t>7) Condiciones del infractor.</w:t>
      </w:r>
    </w:p>
    <w:p w:rsidR="00674BC9" w:rsidRPr="00F45A12" w:rsidRDefault="00674BC9" w:rsidP="00674BC9">
      <w:pPr>
        <w:pStyle w:val="Textonotapie"/>
        <w:rPr>
          <w:sz w:val="16"/>
          <w:szCs w:val="16"/>
          <w:lang w:val="es-ES_tradnl"/>
        </w:rPr>
      </w:pPr>
      <w:r w:rsidRPr="00F45A12">
        <w:rPr>
          <w:sz w:val="16"/>
          <w:szCs w:val="16"/>
          <w:lang w:val="es-ES_tradnl"/>
        </w:rPr>
        <w:t>8) Conducta procesa del infractor.</w:t>
      </w:r>
    </w:p>
    <w:p w:rsidR="00674BC9" w:rsidRPr="002B1AB9" w:rsidRDefault="00674BC9" w:rsidP="00674BC9">
      <w:pPr>
        <w:pStyle w:val="Textonotapie"/>
        <w:rPr>
          <w:sz w:val="18"/>
          <w:szCs w:val="18"/>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5A1C" w:rsidRDefault="006E5A1C" w:rsidP="006E5A1C">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6E5A1C" w:rsidRDefault="006E5A1C" w:rsidP="006E5A1C">
    <w:pPr>
      <w:pStyle w:val="Encabezado"/>
      <w:rPr>
        <w:noProof/>
      </w:rPr>
    </w:pPr>
  </w:p>
  <w:p w:rsidR="006E5A1C" w:rsidRDefault="006E5A1C" w:rsidP="006E5A1C">
    <w:pPr>
      <w:pStyle w:val="Encabezado"/>
      <w:rPr>
        <w:noProof/>
      </w:rPr>
    </w:pPr>
  </w:p>
  <w:p w:rsidR="006E5A1C" w:rsidRDefault="006E5A1C" w:rsidP="006E5A1C">
    <w:pPr>
      <w:pStyle w:val="Encabezado"/>
      <w:rPr>
        <w:noProof/>
      </w:rPr>
    </w:pPr>
  </w:p>
  <w:p w:rsidR="006E5A1C" w:rsidRDefault="006E5A1C" w:rsidP="006E5A1C">
    <w:pPr>
      <w:pStyle w:val="Encabezado"/>
      <w:jc w:val="center"/>
    </w:pPr>
    <w:r>
      <w:rPr>
        <w:rFonts w:ascii="Monotype Corsiva" w:hAnsi="Monotype Corsiva"/>
        <w:b/>
        <w:sz w:val="44"/>
        <w:szCs w:val="44"/>
      </w:rPr>
      <w:t xml:space="preserve">Resolución Nº   </w:t>
    </w:r>
    <w:r>
      <w:rPr>
        <w:rFonts w:ascii="Tahoma" w:hAnsi="Tahoma" w:cs="Tahoma"/>
        <w:b/>
        <w:sz w:val="44"/>
        <w:szCs w:val="44"/>
      </w:rPr>
      <w:t>829-2011-TC-S1</w:t>
    </w:r>
  </w:p>
  <w:p w:rsidR="006E5A1C" w:rsidRDefault="006E5A1C">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2780B33C"/>
    <w:lvl w:ilvl="0" w:tplc="A4BE8AA0">
      <w:start w:val="1"/>
      <w:numFmt w:val="decimal"/>
      <w:lvlText w:val="%1."/>
      <w:lvlJc w:val="left"/>
      <w:pPr>
        <w:ind w:left="720" w:hanging="360"/>
      </w:pPr>
      <w:rPr>
        <w:rFonts w:ascii="Tahoma" w:hAnsi="Tahoma" w:cs="Tahoma" w:hint="default"/>
        <w:b/>
        <w:i w:val="0"/>
        <w:sz w:val="20"/>
        <w:szCs w:val="2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3FA3E39"/>
    <w:multiLevelType w:val="hybridMultilevel"/>
    <w:tmpl w:val="34EE19A4"/>
    <w:lvl w:ilvl="0" w:tplc="0C880FB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4957FE5"/>
    <w:multiLevelType w:val="hybridMultilevel"/>
    <w:tmpl w:val="A1AE25D2"/>
    <w:lvl w:ilvl="0" w:tplc="A5705B54">
      <w:start w:val="1"/>
      <w:numFmt w:val="lowerRoman"/>
      <w:lvlText w:val="(%1)"/>
      <w:lvlJc w:val="left"/>
      <w:pPr>
        <w:ind w:left="720" w:hanging="360"/>
      </w:pPr>
      <w:rPr>
        <w:rFonts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BC52A45"/>
    <w:multiLevelType w:val="hybridMultilevel"/>
    <w:tmpl w:val="9E1AF476"/>
    <w:lvl w:ilvl="0" w:tplc="A782BD50">
      <w:start w:val="1"/>
      <w:numFmt w:val="decimal"/>
      <w:lvlText w:val="%1."/>
      <w:lvlJc w:val="left"/>
      <w:pPr>
        <w:tabs>
          <w:tab w:val="num" w:pos="720"/>
        </w:tabs>
        <w:ind w:left="720" w:hanging="360"/>
      </w:pPr>
      <w:rPr>
        <w:rFonts w:hint="default"/>
      </w:rPr>
    </w:lvl>
    <w:lvl w:ilvl="1" w:tplc="970E7914">
      <w:start w:val="1"/>
      <w:numFmt w:val="decimal"/>
      <w:isLgl/>
      <w:lvlText w:val="%2."/>
      <w:lvlJc w:val="left"/>
      <w:pPr>
        <w:tabs>
          <w:tab w:val="num" w:pos="720"/>
        </w:tabs>
        <w:ind w:left="720" w:hanging="360"/>
      </w:pPr>
      <w:rPr>
        <w:rFonts w:ascii="Tahoma" w:eastAsia="Times New Roman" w:hAnsi="Tahoma" w:cs="Tahoma" w:hint="default"/>
        <w:b/>
        <w:lang w:val="es-ES"/>
      </w:rPr>
    </w:lvl>
    <w:lvl w:ilvl="2" w:tplc="A454C92E">
      <w:numFmt w:val="none"/>
      <w:lvlText w:val=""/>
      <w:lvlJc w:val="left"/>
      <w:pPr>
        <w:tabs>
          <w:tab w:val="num" w:pos="360"/>
        </w:tabs>
      </w:pPr>
    </w:lvl>
    <w:lvl w:ilvl="3" w:tplc="871A521E">
      <w:numFmt w:val="none"/>
      <w:lvlText w:val=""/>
      <w:lvlJc w:val="left"/>
      <w:pPr>
        <w:tabs>
          <w:tab w:val="num" w:pos="360"/>
        </w:tabs>
      </w:pPr>
    </w:lvl>
    <w:lvl w:ilvl="4" w:tplc="C20494B0">
      <w:numFmt w:val="none"/>
      <w:lvlText w:val=""/>
      <w:lvlJc w:val="left"/>
      <w:pPr>
        <w:tabs>
          <w:tab w:val="num" w:pos="360"/>
        </w:tabs>
      </w:pPr>
    </w:lvl>
    <w:lvl w:ilvl="5" w:tplc="907EB3E4">
      <w:numFmt w:val="none"/>
      <w:lvlText w:val=""/>
      <w:lvlJc w:val="left"/>
      <w:pPr>
        <w:tabs>
          <w:tab w:val="num" w:pos="360"/>
        </w:tabs>
      </w:pPr>
    </w:lvl>
    <w:lvl w:ilvl="6" w:tplc="A866F88C">
      <w:numFmt w:val="none"/>
      <w:lvlText w:val=""/>
      <w:lvlJc w:val="left"/>
      <w:pPr>
        <w:tabs>
          <w:tab w:val="num" w:pos="360"/>
        </w:tabs>
      </w:pPr>
    </w:lvl>
    <w:lvl w:ilvl="7" w:tplc="977E2C6E">
      <w:numFmt w:val="none"/>
      <w:lvlText w:val=""/>
      <w:lvlJc w:val="left"/>
      <w:pPr>
        <w:tabs>
          <w:tab w:val="num" w:pos="360"/>
        </w:tabs>
      </w:pPr>
    </w:lvl>
    <w:lvl w:ilvl="8" w:tplc="C060BC32">
      <w:numFmt w:val="none"/>
      <w:lvlText w:val=""/>
      <w:lvlJc w:val="left"/>
      <w:pPr>
        <w:tabs>
          <w:tab w:val="num" w:pos="360"/>
        </w:tabs>
      </w:pPr>
    </w:lvl>
  </w:abstractNum>
  <w:abstractNum w:abstractNumId="4">
    <w:nsid w:val="0F112858"/>
    <w:multiLevelType w:val="hybridMultilevel"/>
    <w:tmpl w:val="F51E3CDA"/>
    <w:lvl w:ilvl="0" w:tplc="E64EEB66">
      <w:start w:val="1"/>
      <w:numFmt w:val="decimal"/>
      <w:lvlText w:val="%1."/>
      <w:lvlJc w:val="left"/>
      <w:pPr>
        <w:tabs>
          <w:tab w:val="num" w:pos="1068"/>
        </w:tabs>
        <w:ind w:left="1068" w:hanging="360"/>
      </w:pPr>
      <w:rPr>
        <w:rFonts w:ascii="Tahoma" w:hAnsi="Tahoma" w:cs="Times New Roman" w:hint="default"/>
        <w:b/>
        <w:i w:val="0"/>
        <w:shadow/>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nsid w:val="128818F7"/>
    <w:multiLevelType w:val="hybridMultilevel"/>
    <w:tmpl w:val="F1ACD746"/>
    <w:lvl w:ilvl="0" w:tplc="4CF25F22">
      <w:start w:val="3"/>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2E720AC6"/>
    <w:multiLevelType w:val="hybridMultilevel"/>
    <w:tmpl w:val="9D400DC0"/>
    <w:lvl w:ilvl="0" w:tplc="C25A8EB4">
      <w:start w:val="1"/>
      <w:numFmt w:val="decimal"/>
      <w:lvlText w:val="%1."/>
      <w:lvlJc w:val="left"/>
      <w:pPr>
        <w:tabs>
          <w:tab w:val="num" w:pos="8100"/>
        </w:tabs>
        <w:ind w:left="8100" w:hanging="360"/>
      </w:pPr>
      <w:rPr>
        <w:rFonts w:hint="default"/>
        <w:b/>
        <w:sz w:val="23"/>
        <w:szCs w:val="23"/>
      </w:rPr>
    </w:lvl>
    <w:lvl w:ilvl="1" w:tplc="0C0A0019" w:tentative="1">
      <w:start w:val="1"/>
      <w:numFmt w:val="lowerLetter"/>
      <w:lvlText w:val="%2."/>
      <w:lvlJc w:val="left"/>
      <w:pPr>
        <w:tabs>
          <w:tab w:val="num" w:pos="8820"/>
        </w:tabs>
        <w:ind w:left="8820" w:hanging="360"/>
      </w:pPr>
    </w:lvl>
    <w:lvl w:ilvl="2" w:tplc="0C0A001B" w:tentative="1">
      <w:start w:val="1"/>
      <w:numFmt w:val="lowerRoman"/>
      <w:lvlText w:val="%3."/>
      <w:lvlJc w:val="right"/>
      <w:pPr>
        <w:tabs>
          <w:tab w:val="num" w:pos="9540"/>
        </w:tabs>
        <w:ind w:left="9540" w:hanging="180"/>
      </w:pPr>
    </w:lvl>
    <w:lvl w:ilvl="3" w:tplc="0C0A000F" w:tentative="1">
      <w:start w:val="1"/>
      <w:numFmt w:val="decimal"/>
      <w:lvlText w:val="%4."/>
      <w:lvlJc w:val="left"/>
      <w:pPr>
        <w:tabs>
          <w:tab w:val="num" w:pos="10260"/>
        </w:tabs>
        <w:ind w:left="10260" w:hanging="360"/>
      </w:pPr>
    </w:lvl>
    <w:lvl w:ilvl="4" w:tplc="0C0A0019" w:tentative="1">
      <w:start w:val="1"/>
      <w:numFmt w:val="lowerLetter"/>
      <w:lvlText w:val="%5."/>
      <w:lvlJc w:val="left"/>
      <w:pPr>
        <w:tabs>
          <w:tab w:val="num" w:pos="10980"/>
        </w:tabs>
        <w:ind w:left="10980" w:hanging="360"/>
      </w:pPr>
    </w:lvl>
    <w:lvl w:ilvl="5" w:tplc="0C0A001B" w:tentative="1">
      <w:start w:val="1"/>
      <w:numFmt w:val="lowerRoman"/>
      <w:lvlText w:val="%6."/>
      <w:lvlJc w:val="right"/>
      <w:pPr>
        <w:tabs>
          <w:tab w:val="num" w:pos="11700"/>
        </w:tabs>
        <w:ind w:left="11700" w:hanging="180"/>
      </w:pPr>
    </w:lvl>
    <w:lvl w:ilvl="6" w:tplc="0C0A000F" w:tentative="1">
      <w:start w:val="1"/>
      <w:numFmt w:val="decimal"/>
      <w:lvlText w:val="%7."/>
      <w:lvlJc w:val="left"/>
      <w:pPr>
        <w:tabs>
          <w:tab w:val="num" w:pos="12420"/>
        </w:tabs>
        <w:ind w:left="12420" w:hanging="360"/>
      </w:pPr>
    </w:lvl>
    <w:lvl w:ilvl="7" w:tplc="0C0A0019" w:tentative="1">
      <w:start w:val="1"/>
      <w:numFmt w:val="lowerLetter"/>
      <w:lvlText w:val="%8."/>
      <w:lvlJc w:val="left"/>
      <w:pPr>
        <w:tabs>
          <w:tab w:val="num" w:pos="13140"/>
        </w:tabs>
        <w:ind w:left="13140" w:hanging="360"/>
      </w:pPr>
    </w:lvl>
    <w:lvl w:ilvl="8" w:tplc="0C0A001B" w:tentative="1">
      <w:start w:val="1"/>
      <w:numFmt w:val="lowerRoman"/>
      <w:lvlText w:val="%9."/>
      <w:lvlJc w:val="right"/>
      <w:pPr>
        <w:tabs>
          <w:tab w:val="num" w:pos="13860"/>
        </w:tabs>
        <w:ind w:left="13860" w:hanging="180"/>
      </w:pPr>
    </w:lvl>
  </w:abstractNum>
  <w:abstractNum w:abstractNumId="7">
    <w:nsid w:val="3B7B237C"/>
    <w:multiLevelType w:val="hybridMultilevel"/>
    <w:tmpl w:val="012444D4"/>
    <w:lvl w:ilvl="0" w:tplc="F5C055C0">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709221C6">
      <w:start w:val="1"/>
      <w:numFmt w:val="lowerLetter"/>
      <w:lvlText w:val="%3)"/>
      <w:lvlJc w:val="left"/>
      <w:pPr>
        <w:tabs>
          <w:tab w:val="num" w:pos="2340"/>
        </w:tabs>
        <w:ind w:left="2340" w:hanging="360"/>
      </w:pPr>
      <w:rPr>
        <w:rFonts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44E306A8"/>
    <w:multiLevelType w:val="hybridMultilevel"/>
    <w:tmpl w:val="3A32E608"/>
    <w:lvl w:ilvl="0" w:tplc="4A1C6E70">
      <w:start w:val="1"/>
      <w:numFmt w:val="decimal"/>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9">
    <w:nsid w:val="452C5B89"/>
    <w:multiLevelType w:val="hybridMultilevel"/>
    <w:tmpl w:val="3940A9BE"/>
    <w:lvl w:ilvl="0" w:tplc="5246B6C8">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10">
    <w:nsid w:val="4664239E"/>
    <w:multiLevelType w:val="hybridMultilevel"/>
    <w:tmpl w:val="4428355A"/>
    <w:lvl w:ilvl="0" w:tplc="A5705B54">
      <w:start w:val="1"/>
      <w:numFmt w:val="lowerRoman"/>
      <w:lvlText w:val="(%1)"/>
      <w:lvlJc w:val="left"/>
      <w:pPr>
        <w:ind w:left="360" w:hanging="360"/>
      </w:pPr>
      <w:rPr>
        <w:rFonts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nsid w:val="568D15DF"/>
    <w:multiLevelType w:val="hybridMultilevel"/>
    <w:tmpl w:val="A1DC23A4"/>
    <w:lvl w:ilvl="0" w:tplc="0C0A0019">
      <w:start w:val="1"/>
      <w:numFmt w:val="lowerLetter"/>
      <w:lvlText w:val="%1."/>
      <w:lvlJc w:val="left"/>
      <w:pPr>
        <w:ind w:left="1120" w:hanging="360"/>
      </w:pPr>
    </w:lvl>
    <w:lvl w:ilvl="1" w:tplc="0C0A0019" w:tentative="1">
      <w:start w:val="1"/>
      <w:numFmt w:val="lowerLetter"/>
      <w:lvlText w:val="%2."/>
      <w:lvlJc w:val="left"/>
      <w:pPr>
        <w:ind w:left="1840" w:hanging="360"/>
      </w:pPr>
    </w:lvl>
    <w:lvl w:ilvl="2" w:tplc="0C0A001B" w:tentative="1">
      <w:start w:val="1"/>
      <w:numFmt w:val="lowerRoman"/>
      <w:lvlText w:val="%3."/>
      <w:lvlJc w:val="right"/>
      <w:pPr>
        <w:ind w:left="2560" w:hanging="180"/>
      </w:pPr>
    </w:lvl>
    <w:lvl w:ilvl="3" w:tplc="0C0A000F" w:tentative="1">
      <w:start w:val="1"/>
      <w:numFmt w:val="decimal"/>
      <w:lvlText w:val="%4."/>
      <w:lvlJc w:val="left"/>
      <w:pPr>
        <w:ind w:left="3280" w:hanging="360"/>
      </w:pPr>
    </w:lvl>
    <w:lvl w:ilvl="4" w:tplc="0C0A0019" w:tentative="1">
      <w:start w:val="1"/>
      <w:numFmt w:val="lowerLetter"/>
      <w:lvlText w:val="%5."/>
      <w:lvlJc w:val="left"/>
      <w:pPr>
        <w:ind w:left="4000" w:hanging="360"/>
      </w:pPr>
    </w:lvl>
    <w:lvl w:ilvl="5" w:tplc="0C0A001B" w:tentative="1">
      <w:start w:val="1"/>
      <w:numFmt w:val="lowerRoman"/>
      <w:lvlText w:val="%6."/>
      <w:lvlJc w:val="right"/>
      <w:pPr>
        <w:ind w:left="4720" w:hanging="180"/>
      </w:pPr>
    </w:lvl>
    <w:lvl w:ilvl="6" w:tplc="0C0A000F" w:tentative="1">
      <w:start w:val="1"/>
      <w:numFmt w:val="decimal"/>
      <w:lvlText w:val="%7."/>
      <w:lvlJc w:val="left"/>
      <w:pPr>
        <w:ind w:left="5440" w:hanging="360"/>
      </w:pPr>
    </w:lvl>
    <w:lvl w:ilvl="7" w:tplc="0C0A0019" w:tentative="1">
      <w:start w:val="1"/>
      <w:numFmt w:val="lowerLetter"/>
      <w:lvlText w:val="%8."/>
      <w:lvlJc w:val="left"/>
      <w:pPr>
        <w:ind w:left="6160" w:hanging="360"/>
      </w:pPr>
    </w:lvl>
    <w:lvl w:ilvl="8" w:tplc="0C0A001B" w:tentative="1">
      <w:start w:val="1"/>
      <w:numFmt w:val="lowerRoman"/>
      <w:lvlText w:val="%9."/>
      <w:lvlJc w:val="right"/>
      <w:pPr>
        <w:ind w:left="6880" w:hanging="180"/>
      </w:pPr>
    </w:lvl>
  </w:abstractNum>
  <w:abstractNum w:abstractNumId="12">
    <w:nsid w:val="61862456"/>
    <w:multiLevelType w:val="hybridMultilevel"/>
    <w:tmpl w:val="2532449A"/>
    <w:lvl w:ilvl="0" w:tplc="417248C0">
      <w:start w:val="1"/>
      <w:numFmt w:val="decimal"/>
      <w:lvlText w:val="%1."/>
      <w:lvlJc w:val="left"/>
      <w:pPr>
        <w:tabs>
          <w:tab w:val="num" w:pos="360"/>
        </w:tabs>
        <w:ind w:left="360" w:hanging="360"/>
      </w:pPr>
      <w:rPr>
        <w:b/>
      </w:rPr>
    </w:lvl>
    <w:lvl w:ilvl="1" w:tplc="0C0A0001">
      <w:start w:val="1"/>
      <w:numFmt w:val="bullet"/>
      <w:lvlText w:val=""/>
      <w:lvlJc w:val="left"/>
      <w:pPr>
        <w:tabs>
          <w:tab w:val="num" w:pos="1080"/>
        </w:tabs>
        <w:ind w:left="1080" w:hanging="360"/>
      </w:pPr>
      <w:rPr>
        <w:rFonts w:ascii="Symbol" w:hAnsi="Symbol" w:hint="default"/>
        <w:b w:val="0"/>
      </w:rPr>
    </w:lvl>
    <w:lvl w:ilvl="2" w:tplc="0C0A001B" w:tentative="1">
      <w:start w:val="1"/>
      <w:numFmt w:val="lowerRoman"/>
      <w:lvlText w:val="%3."/>
      <w:lvlJc w:val="right"/>
      <w:pPr>
        <w:tabs>
          <w:tab w:val="num" w:pos="1800"/>
        </w:tabs>
        <w:ind w:left="1800" w:hanging="180"/>
      </w:pPr>
    </w:lvl>
    <w:lvl w:ilvl="3" w:tplc="0C0A000F">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nsid w:val="65FE0EBD"/>
    <w:multiLevelType w:val="hybridMultilevel"/>
    <w:tmpl w:val="3D043226"/>
    <w:lvl w:ilvl="0" w:tplc="506A8BE4">
      <w:start w:val="1"/>
      <w:numFmt w:val="lowerRoman"/>
      <w:lvlText w:val="%1."/>
      <w:lvlJc w:val="righ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4">
    <w:nsid w:val="6722597F"/>
    <w:multiLevelType w:val="hybridMultilevel"/>
    <w:tmpl w:val="AF6EBD46"/>
    <w:lvl w:ilvl="0" w:tplc="522A75B8">
      <w:start w:val="1"/>
      <w:numFmt w:val="decimal"/>
      <w:lvlText w:val="%1."/>
      <w:lvlJc w:val="left"/>
      <w:pPr>
        <w:ind w:left="720" w:hanging="360"/>
      </w:pPr>
      <w:rPr>
        <w:b/>
        <w:shadow w:val="0"/>
        <w:sz w:val="24"/>
        <w:szCs w:val="24"/>
      </w:rPr>
    </w:lvl>
    <w:lvl w:ilvl="1" w:tplc="3D94CC94">
      <w:start w:val="1"/>
      <w:numFmt w:val="decimal"/>
      <w:lvlText w:val="%2."/>
      <w:lvlJc w:val="left"/>
      <w:pPr>
        <w:tabs>
          <w:tab w:val="num" w:pos="1440"/>
        </w:tabs>
        <w:ind w:left="1440" w:hanging="360"/>
      </w:pPr>
      <w:rPr>
        <w:b/>
        <w:shadow w:val="0"/>
        <w:sz w:val="24"/>
        <w:szCs w:val="24"/>
      </w:rPr>
    </w:lvl>
    <w:lvl w:ilvl="2" w:tplc="BF607EF6">
      <w:start w:val="5"/>
      <w:numFmt w:val="upperLetter"/>
      <w:lvlText w:val="%3."/>
      <w:lvlJc w:val="left"/>
      <w:pPr>
        <w:tabs>
          <w:tab w:val="num" w:pos="2340"/>
        </w:tabs>
        <w:ind w:left="2340" w:hanging="360"/>
      </w:pPr>
      <w:rPr>
        <w:rFonts w:hint="default"/>
        <w:sz w:val="24"/>
        <w:szCs w:val="24"/>
      </w:rPr>
    </w:lvl>
    <w:lvl w:ilvl="3" w:tplc="0ADE54CC">
      <w:start w:val="1"/>
      <w:numFmt w:val="lowerLetter"/>
      <w:lvlText w:val="%4."/>
      <w:lvlJc w:val="left"/>
      <w:pPr>
        <w:ind w:left="2880" w:hanging="360"/>
      </w:pPr>
      <w:rPr>
        <w:rFonts w:hint="default"/>
        <w:b/>
      </w:rPr>
    </w:lvl>
    <w:lvl w:ilvl="4" w:tplc="B7E2CC06">
      <w:start w:val="1"/>
      <w:numFmt w:val="lowerRoman"/>
      <w:lvlText w:val="(%5)"/>
      <w:lvlJc w:val="left"/>
      <w:pPr>
        <w:ind w:left="3960" w:hanging="720"/>
      </w:pPr>
      <w:rPr>
        <w:rFonts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nsid w:val="6EA50FF8"/>
    <w:multiLevelType w:val="hybridMultilevel"/>
    <w:tmpl w:val="942E561C"/>
    <w:lvl w:ilvl="0" w:tplc="F1AC1BBE">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nsid w:val="742A4401"/>
    <w:multiLevelType w:val="hybridMultilevel"/>
    <w:tmpl w:val="4532242E"/>
    <w:lvl w:ilvl="0" w:tplc="75360182">
      <w:start w:val="1"/>
      <w:numFmt w:val="decimal"/>
      <w:lvlText w:val="%1."/>
      <w:lvlJc w:val="left"/>
      <w:pPr>
        <w:ind w:left="1287" w:hanging="360"/>
      </w:pPr>
      <w:rPr>
        <w:rFonts w:ascii="Tahoma" w:hAnsi="Tahoma" w:cs="Tahoma" w:hint="default"/>
        <w:b/>
        <w:sz w:val="20"/>
        <w:szCs w:val="20"/>
      </w:rPr>
    </w:lvl>
    <w:lvl w:ilvl="1" w:tplc="D83632D6">
      <w:start w:val="1"/>
      <w:numFmt w:val="lowerLetter"/>
      <w:lvlText w:val="%2)"/>
      <w:lvlJc w:val="left"/>
      <w:pPr>
        <w:tabs>
          <w:tab w:val="num" w:pos="2007"/>
        </w:tabs>
        <w:ind w:left="2007" w:hanging="360"/>
      </w:pPr>
      <w:rPr>
        <w:rFonts w:hint="default"/>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7">
    <w:nsid w:val="7A3C31C4"/>
    <w:multiLevelType w:val="hybridMultilevel"/>
    <w:tmpl w:val="E958748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B9672E7"/>
    <w:multiLevelType w:val="hybridMultilevel"/>
    <w:tmpl w:val="D6D2C9B2"/>
    <w:lvl w:ilvl="0" w:tplc="5CB03580">
      <w:start w:val="1"/>
      <w:numFmt w:val="lowerRoman"/>
      <w:lvlText w:val="%1."/>
      <w:lvlJc w:val="right"/>
      <w:pPr>
        <w:ind w:left="1365" w:hanging="360"/>
      </w:pPr>
      <w:rPr>
        <w:b/>
      </w:rPr>
    </w:lvl>
    <w:lvl w:ilvl="1" w:tplc="0C0A0019" w:tentative="1">
      <w:start w:val="1"/>
      <w:numFmt w:val="lowerLetter"/>
      <w:lvlText w:val="%2."/>
      <w:lvlJc w:val="left"/>
      <w:pPr>
        <w:ind w:left="2085" w:hanging="360"/>
      </w:pPr>
    </w:lvl>
    <w:lvl w:ilvl="2" w:tplc="0C0A001B" w:tentative="1">
      <w:start w:val="1"/>
      <w:numFmt w:val="lowerRoman"/>
      <w:lvlText w:val="%3."/>
      <w:lvlJc w:val="right"/>
      <w:pPr>
        <w:ind w:left="2805" w:hanging="180"/>
      </w:pPr>
    </w:lvl>
    <w:lvl w:ilvl="3" w:tplc="0C0A000F" w:tentative="1">
      <w:start w:val="1"/>
      <w:numFmt w:val="decimal"/>
      <w:lvlText w:val="%4."/>
      <w:lvlJc w:val="left"/>
      <w:pPr>
        <w:ind w:left="3525" w:hanging="360"/>
      </w:pPr>
    </w:lvl>
    <w:lvl w:ilvl="4" w:tplc="0C0A0019" w:tentative="1">
      <w:start w:val="1"/>
      <w:numFmt w:val="lowerLetter"/>
      <w:lvlText w:val="%5."/>
      <w:lvlJc w:val="left"/>
      <w:pPr>
        <w:ind w:left="4245" w:hanging="360"/>
      </w:pPr>
    </w:lvl>
    <w:lvl w:ilvl="5" w:tplc="0C0A001B" w:tentative="1">
      <w:start w:val="1"/>
      <w:numFmt w:val="lowerRoman"/>
      <w:lvlText w:val="%6."/>
      <w:lvlJc w:val="right"/>
      <w:pPr>
        <w:ind w:left="4965" w:hanging="180"/>
      </w:pPr>
    </w:lvl>
    <w:lvl w:ilvl="6" w:tplc="0C0A000F" w:tentative="1">
      <w:start w:val="1"/>
      <w:numFmt w:val="decimal"/>
      <w:lvlText w:val="%7."/>
      <w:lvlJc w:val="left"/>
      <w:pPr>
        <w:ind w:left="5685" w:hanging="360"/>
      </w:pPr>
    </w:lvl>
    <w:lvl w:ilvl="7" w:tplc="0C0A0019" w:tentative="1">
      <w:start w:val="1"/>
      <w:numFmt w:val="lowerLetter"/>
      <w:lvlText w:val="%8."/>
      <w:lvlJc w:val="left"/>
      <w:pPr>
        <w:ind w:left="6405" w:hanging="360"/>
      </w:pPr>
    </w:lvl>
    <w:lvl w:ilvl="8" w:tplc="0C0A001B" w:tentative="1">
      <w:start w:val="1"/>
      <w:numFmt w:val="lowerRoman"/>
      <w:lvlText w:val="%9."/>
      <w:lvlJc w:val="right"/>
      <w:pPr>
        <w:ind w:left="7125" w:hanging="180"/>
      </w:pPr>
    </w:lvl>
  </w:abstractNum>
  <w:num w:numId="1">
    <w:abstractNumId w:val="12"/>
  </w:num>
  <w:num w:numId="2">
    <w:abstractNumId w:val="7"/>
  </w:num>
  <w:num w:numId="3">
    <w:abstractNumId w:val="11"/>
  </w:num>
  <w:num w:numId="4">
    <w:abstractNumId w:val="8"/>
  </w:num>
  <w:num w:numId="5">
    <w:abstractNumId w:val="14"/>
  </w:num>
  <w:num w:numId="6">
    <w:abstractNumId w:val="3"/>
  </w:num>
  <w:num w:numId="7">
    <w:abstractNumId w:val="1"/>
  </w:num>
  <w:num w:numId="8">
    <w:abstractNumId w:val="16"/>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5"/>
  </w:num>
  <w:num w:numId="12">
    <w:abstractNumId w:val="9"/>
  </w:num>
  <w:num w:numId="13">
    <w:abstractNumId w:val="2"/>
  </w:num>
  <w:num w:numId="14">
    <w:abstractNumId w:val="6"/>
  </w:num>
  <w:num w:numId="15">
    <w:abstractNumId w:val="18"/>
  </w:num>
  <w:num w:numId="16">
    <w:abstractNumId w:val="10"/>
  </w:num>
  <w:num w:numId="17">
    <w:abstractNumId w:val="17"/>
  </w:num>
  <w:num w:numId="18">
    <w:abstractNumId w:val="0"/>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5362"/>
  </w:hdrShapeDefaults>
  <w:footnotePr>
    <w:footnote w:id="0"/>
    <w:footnote w:id="1"/>
  </w:footnotePr>
  <w:endnotePr>
    <w:endnote w:id="0"/>
    <w:endnote w:id="1"/>
  </w:endnotePr>
  <w:compat/>
  <w:rsids>
    <w:rsidRoot w:val="00F31A7A"/>
    <w:rsid w:val="00070FAF"/>
    <w:rsid w:val="00097F47"/>
    <w:rsid w:val="000A09D0"/>
    <w:rsid w:val="000E35F1"/>
    <w:rsid w:val="00117E78"/>
    <w:rsid w:val="00165ACF"/>
    <w:rsid w:val="00190839"/>
    <w:rsid w:val="001C433F"/>
    <w:rsid w:val="001C6C04"/>
    <w:rsid w:val="001D3157"/>
    <w:rsid w:val="00243346"/>
    <w:rsid w:val="00266B38"/>
    <w:rsid w:val="002C4920"/>
    <w:rsid w:val="002F2CE4"/>
    <w:rsid w:val="00331906"/>
    <w:rsid w:val="003A7E84"/>
    <w:rsid w:val="00404215"/>
    <w:rsid w:val="004504AC"/>
    <w:rsid w:val="004A214B"/>
    <w:rsid w:val="004A4B54"/>
    <w:rsid w:val="004F332E"/>
    <w:rsid w:val="0054123A"/>
    <w:rsid w:val="00544CD7"/>
    <w:rsid w:val="005C380D"/>
    <w:rsid w:val="006358E8"/>
    <w:rsid w:val="00642CC8"/>
    <w:rsid w:val="00642E9A"/>
    <w:rsid w:val="00654E74"/>
    <w:rsid w:val="00657092"/>
    <w:rsid w:val="00674BC9"/>
    <w:rsid w:val="006930BD"/>
    <w:rsid w:val="006B4461"/>
    <w:rsid w:val="006C0410"/>
    <w:rsid w:val="006E19A7"/>
    <w:rsid w:val="006E5A1C"/>
    <w:rsid w:val="006F11FA"/>
    <w:rsid w:val="00741529"/>
    <w:rsid w:val="007728C3"/>
    <w:rsid w:val="00781E29"/>
    <w:rsid w:val="007A5BA3"/>
    <w:rsid w:val="007F520B"/>
    <w:rsid w:val="00804646"/>
    <w:rsid w:val="00847257"/>
    <w:rsid w:val="008A5150"/>
    <w:rsid w:val="008E2FB1"/>
    <w:rsid w:val="009555E3"/>
    <w:rsid w:val="009560FA"/>
    <w:rsid w:val="009B1C66"/>
    <w:rsid w:val="009D2510"/>
    <w:rsid w:val="00A03976"/>
    <w:rsid w:val="00A21BBB"/>
    <w:rsid w:val="00A2762E"/>
    <w:rsid w:val="00A77769"/>
    <w:rsid w:val="00AD134D"/>
    <w:rsid w:val="00AD7110"/>
    <w:rsid w:val="00AE0474"/>
    <w:rsid w:val="00B05429"/>
    <w:rsid w:val="00B1633D"/>
    <w:rsid w:val="00B67DD8"/>
    <w:rsid w:val="00B769E4"/>
    <w:rsid w:val="00B778BE"/>
    <w:rsid w:val="00B8031B"/>
    <w:rsid w:val="00BA2FFB"/>
    <w:rsid w:val="00BB0120"/>
    <w:rsid w:val="00BB400F"/>
    <w:rsid w:val="00BD171B"/>
    <w:rsid w:val="00BD396B"/>
    <w:rsid w:val="00BF50B0"/>
    <w:rsid w:val="00BF5DC8"/>
    <w:rsid w:val="00C3416B"/>
    <w:rsid w:val="00C36F0C"/>
    <w:rsid w:val="00C611A2"/>
    <w:rsid w:val="00C66B5A"/>
    <w:rsid w:val="00CD02B0"/>
    <w:rsid w:val="00D66190"/>
    <w:rsid w:val="00D678A2"/>
    <w:rsid w:val="00D72AF0"/>
    <w:rsid w:val="00D916B6"/>
    <w:rsid w:val="00D93ED4"/>
    <w:rsid w:val="00DA1F47"/>
    <w:rsid w:val="00E22B3C"/>
    <w:rsid w:val="00E41CD3"/>
    <w:rsid w:val="00E86C2E"/>
    <w:rsid w:val="00F31A7A"/>
    <w:rsid w:val="00F71648"/>
    <w:rsid w:val="00FC4CCB"/>
    <w:rsid w:val="00FF064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1A7A"/>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31A7A"/>
    <w:pPr>
      <w:jc w:val="both"/>
    </w:pPr>
    <w:rPr>
      <w:rFonts w:ascii="Tahoma" w:hAnsi="Tahoma"/>
      <w:szCs w:val="20"/>
      <w:lang w:val="es-PE"/>
    </w:rPr>
  </w:style>
  <w:style w:type="character" w:customStyle="1" w:styleId="TextoindependienteCar">
    <w:name w:val="Texto independiente Car"/>
    <w:basedOn w:val="Fuentedeprrafopredeter"/>
    <w:link w:val="Textoindependiente"/>
    <w:rsid w:val="00F31A7A"/>
    <w:rPr>
      <w:rFonts w:ascii="Tahoma" w:eastAsia="Times New Roman" w:hAnsi="Tahoma" w:cs="Times New Roman"/>
      <w:sz w:val="24"/>
      <w:szCs w:val="20"/>
      <w:lang w:val="es-PE" w:eastAsia="es-ES"/>
    </w:rPr>
  </w:style>
  <w:style w:type="paragraph" w:styleId="Piedepgina">
    <w:name w:val="footer"/>
    <w:basedOn w:val="Normal"/>
    <w:link w:val="PiedepginaCar"/>
    <w:rsid w:val="00F31A7A"/>
    <w:pPr>
      <w:tabs>
        <w:tab w:val="center" w:pos="4252"/>
        <w:tab w:val="right" w:pos="8504"/>
      </w:tabs>
    </w:pPr>
  </w:style>
  <w:style w:type="character" w:customStyle="1" w:styleId="PiedepginaCar">
    <w:name w:val="Pie de página Car"/>
    <w:basedOn w:val="Fuentedeprrafopredeter"/>
    <w:link w:val="Piedepgina"/>
    <w:rsid w:val="00F31A7A"/>
    <w:rPr>
      <w:rFonts w:ascii="Times New Roman" w:eastAsia="Times New Roman" w:hAnsi="Times New Roman" w:cs="Times New Roman"/>
      <w:sz w:val="24"/>
      <w:szCs w:val="24"/>
      <w:lang w:eastAsia="es-ES"/>
    </w:rPr>
  </w:style>
  <w:style w:type="paragraph" w:styleId="Textonotapie">
    <w:name w:val="footnote text"/>
    <w:aliases w:val=" Car,Car, Car4,Car Car Car,Texto nota pie1,Body Text,Car4, Car2 Car Car Car Car Car, Car2 Car, Car2, Car1 Car,Car1 Car, Car2 Car1 Car,Car2 Car Car Car Car Car,Car2 Car Car,Car2 Car Car Car Car Car Car, Car1, Car Car Car"/>
    <w:basedOn w:val="Normal"/>
    <w:link w:val="TextonotapieCar"/>
    <w:rsid w:val="00F31A7A"/>
    <w:rPr>
      <w:sz w:val="20"/>
      <w:szCs w:val="20"/>
    </w:rPr>
  </w:style>
  <w:style w:type="character" w:customStyle="1" w:styleId="TextonotapieCar">
    <w:name w:val="Texto nota pie Car"/>
    <w:aliases w:val=" Car Car,Car Car, Car4 Car,Car Car Car Car,Texto nota pie1 Car,Body Text Car,Car4 Car, Car2 Car Car Car Car Car Car, Car2 Car Car, Car2 Car1, Car1 Car Car,Car1 Car Car, Car2 Car1 Car Car,Car2 Car Car Car Car Car Car1,Car2 Car Car Car"/>
    <w:basedOn w:val="Fuentedeprrafopredeter"/>
    <w:link w:val="Textonotapie"/>
    <w:rsid w:val="00F31A7A"/>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F31A7A"/>
    <w:rPr>
      <w:vertAlign w:val="superscript"/>
    </w:rPr>
  </w:style>
  <w:style w:type="paragraph" w:styleId="Prrafodelista">
    <w:name w:val="List Paragraph"/>
    <w:basedOn w:val="Normal"/>
    <w:uiPriority w:val="34"/>
    <w:qFormat/>
    <w:rsid w:val="00F31A7A"/>
    <w:pPr>
      <w:ind w:left="708"/>
    </w:pPr>
  </w:style>
  <w:style w:type="paragraph" w:styleId="NormalWeb">
    <w:name w:val="Normal (Web)"/>
    <w:basedOn w:val="Normal"/>
    <w:uiPriority w:val="99"/>
    <w:rsid w:val="00F31A7A"/>
    <w:pPr>
      <w:spacing w:before="100" w:beforeAutospacing="1" w:after="100" w:afterAutospacing="1"/>
    </w:pPr>
    <w:rPr>
      <w:rFonts w:eastAsia="MS Mincho"/>
    </w:rPr>
  </w:style>
  <w:style w:type="paragraph" w:customStyle="1" w:styleId="Textoindependiente21">
    <w:name w:val="Texto independiente 21"/>
    <w:basedOn w:val="Normal"/>
    <w:rsid w:val="00F31A7A"/>
    <w:pPr>
      <w:jc w:val="both"/>
    </w:pPr>
    <w:rPr>
      <w:rFonts w:ascii="Tahoma" w:hAnsi="Tahoma"/>
      <w:sz w:val="22"/>
      <w:szCs w:val="20"/>
    </w:rPr>
  </w:style>
  <w:style w:type="paragraph" w:styleId="Sinespaciado">
    <w:name w:val="No Spacing"/>
    <w:uiPriority w:val="1"/>
    <w:qFormat/>
    <w:rsid w:val="00F31A7A"/>
    <w:pPr>
      <w:spacing w:after="0" w:line="240" w:lineRule="auto"/>
    </w:pPr>
    <w:rPr>
      <w:rFonts w:ascii="Calibri" w:eastAsia="Times New Roman" w:hAnsi="Calibri" w:cs="Times New Roman"/>
      <w:lang w:eastAsia="es-ES"/>
    </w:rPr>
  </w:style>
  <w:style w:type="paragraph" w:styleId="Encabezado">
    <w:name w:val="header"/>
    <w:aliases w:val="maria,h"/>
    <w:basedOn w:val="Normal"/>
    <w:link w:val="EncabezadoCar"/>
    <w:uiPriority w:val="99"/>
    <w:unhideWhenUsed/>
    <w:rsid w:val="00781E29"/>
    <w:pPr>
      <w:tabs>
        <w:tab w:val="center" w:pos="4252"/>
        <w:tab w:val="right" w:pos="8504"/>
      </w:tabs>
    </w:pPr>
    <w:rPr>
      <w:sz w:val="20"/>
      <w:szCs w:val="20"/>
    </w:rPr>
  </w:style>
  <w:style w:type="character" w:customStyle="1" w:styleId="EncabezadoCar">
    <w:name w:val="Encabezado Car"/>
    <w:aliases w:val="maria Car,h Car"/>
    <w:basedOn w:val="Fuentedeprrafopredeter"/>
    <w:link w:val="Encabezado"/>
    <w:uiPriority w:val="99"/>
    <w:rsid w:val="00781E29"/>
    <w:rPr>
      <w:rFonts w:ascii="Times New Roman" w:eastAsia="Times New Roman" w:hAnsi="Times New Roman" w:cs="Times New Roman"/>
      <w:sz w:val="20"/>
      <w:szCs w:val="20"/>
      <w:lang w:eastAsia="es-ES"/>
    </w:rPr>
  </w:style>
  <w:style w:type="table" w:styleId="Tablaconcuadrcula">
    <w:name w:val="Table Grid"/>
    <w:basedOn w:val="Tablanormal"/>
    <w:uiPriority w:val="59"/>
    <w:rsid w:val="00266B38"/>
    <w:pPr>
      <w:spacing w:after="0" w:line="240" w:lineRule="auto"/>
    </w:pPr>
    <w:rPr>
      <w:rFonts w:ascii="Calibri" w:eastAsia="Calibri" w:hAnsi="Calibri" w:cs="Times New Roman"/>
      <w:sz w:val="20"/>
      <w:szCs w:val="20"/>
      <w:lang w:eastAsia="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oindependiente2">
    <w:name w:val="Body Text 2"/>
    <w:basedOn w:val="Normal"/>
    <w:link w:val="Textoindependiente2Car"/>
    <w:uiPriority w:val="99"/>
    <w:unhideWhenUsed/>
    <w:rsid w:val="001C6C04"/>
    <w:pPr>
      <w:spacing w:after="120" w:line="480" w:lineRule="auto"/>
    </w:pPr>
  </w:style>
  <w:style w:type="character" w:customStyle="1" w:styleId="Textoindependiente2Car">
    <w:name w:val="Texto independiente 2 Car"/>
    <w:basedOn w:val="Fuentedeprrafopredeter"/>
    <w:link w:val="Textoindependiente2"/>
    <w:uiPriority w:val="99"/>
    <w:rsid w:val="001C6C04"/>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8510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BB29B-4043-4116-9D5F-A49977F9D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13</Pages>
  <Words>5505</Words>
  <Characters>30278</Characters>
  <Application>Microsoft Office Word</Application>
  <DocSecurity>0</DocSecurity>
  <Lines>252</Lines>
  <Paragraphs>71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81</cp:revision>
  <cp:lastPrinted>2011-05-17T19:20:00Z</cp:lastPrinted>
  <dcterms:created xsi:type="dcterms:W3CDTF">2009-12-29T19:22:00Z</dcterms:created>
  <dcterms:modified xsi:type="dcterms:W3CDTF">2011-06-22T14:26:00Z</dcterms:modified>
</cp:coreProperties>
</file>